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04341392"/>
        <w:docPartObj>
          <w:docPartGallery w:val="Cover Pages"/>
          <w:docPartUnique/>
        </w:docPartObj>
      </w:sdtPr>
      <w:sdtContent>
        <w:p w:rsidR="0006374D" w:rsidRDefault="00800839">
          <w:r>
            <w:rPr>
              <w:noProof/>
            </w:rPr>
            <w:drawing>
              <wp:anchor distT="0" distB="0" distL="114300" distR="114300" simplePos="0" relativeHeight="251665408" behindDoc="0" locked="0" layoutInCell="1" allowOverlap="1">
                <wp:simplePos x="0" y="0"/>
                <wp:positionH relativeFrom="column">
                  <wp:posOffset>-257810</wp:posOffset>
                </wp:positionH>
                <wp:positionV relativeFrom="paragraph">
                  <wp:posOffset>-372745</wp:posOffset>
                </wp:positionV>
                <wp:extent cx="1425575" cy="1148080"/>
                <wp:effectExtent l="19050" t="0" r="3175" b="0"/>
                <wp:wrapThrough wrapText="bothSides">
                  <wp:wrapPolygon edited="0">
                    <wp:start x="-289" y="0"/>
                    <wp:lineTo x="-289" y="21146"/>
                    <wp:lineTo x="21648" y="21146"/>
                    <wp:lineTo x="21648" y="0"/>
                    <wp:lineTo x="-289" y="0"/>
                  </wp:wrapPolygon>
                </wp:wrapThrough>
                <wp:docPr id="3" name="Picture 2" descr="logo-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d.png"/>
                        <pic:cNvPicPr/>
                      </pic:nvPicPr>
                      <pic:blipFill>
                        <a:blip r:embed="rId9" cstate="print"/>
                        <a:stretch>
                          <a:fillRect/>
                        </a:stretch>
                      </pic:blipFill>
                      <pic:spPr>
                        <a:xfrm>
                          <a:off x="0" y="0"/>
                          <a:ext cx="1425575" cy="1148080"/>
                        </a:xfrm>
                        <a:prstGeom prst="rect">
                          <a:avLst/>
                        </a:prstGeom>
                      </pic:spPr>
                    </pic:pic>
                  </a:graphicData>
                </a:graphic>
              </wp:anchor>
            </w:drawing>
          </w:r>
          <w:r w:rsidR="00AF5A4A">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52"/>
                          <w:szCs w:val="5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06374D" w:rsidRPr="0006374D" w:rsidRDefault="0076664A" w:rsidP="00366312">
                          <w:pPr>
                            <w:pStyle w:val="NoSpacing"/>
                            <w:jc w:val="right"/>
                            <w:rPr>
                              <w:rFonts w:asciiTheme="majorHAnsi" w:eastAsiaTheme="majorEastAsia" w:hAnsiTheme="majorHAnsi" w:cstheme="majorBidi"/>
                              <w:color w:val="FFFFFF" w:themeColor="background1"/>
                              <w:sz w:val="52"/>
                              <w:szCs w:val="52"/>
                            </w:rPr>
                          </w:pPr>
                          <w:r>
                            <w:rPr>
                              <w:rFonts w:asciiTheme="majorHAnsi" w:eastAsiaTheme="majorEastAsia" w:hAnsiTheme="majorHAnsi" w:cstheme="majorBidi"/>
                              <w:color w:val="FFFFFF" w:themeColor="background1"/>
                              <w:sz w:val="52"/>
                              <w:szCs w:val="52"/>
                              <w:lang w:val="en-MY"/>
                            </w:rPr>
                            <w:t>MALAYSIAN PRIVATE ENTITIES REPORTING STANDARDS (MPERS) : an overview and practical approach</w:t>
                          </w:r>
                        </w:p>
                      </w:sdtContent>
                    </w:sdt>
                  </w:txbxContent>
                </v:textbox>
                <w10:wrap anchorx="page" anchory="page"/>
              </v:rect>
            </w:pict>
          </w:r>
          <w:r w:rsidR="00AF5A4A">
            <w:rPr>
              <w:noProof/>
            </w:rPr>
            <w:pict>
              <v:group id="_x0000_s1026" style="position:absolute;margin-left:5188.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Content>
                          <w:p w:rsidR="0006374D" w:rsidRDefault="0006374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F910EE">
                              <w:rPr>
                                <w:rFonts w:asciiTheme="majorHAnsi" w:eastAsiaTheme="majorEastAsia" w:hAnsiTheme="majorHAnsi" w:cstheme="majorBidi"/>
                                <w:b/>
                                <w:bCs/>
                                <w:color w:val="FFFFFF" w:themeColor="background1"/>
                                <w:sz w:val="96"/>
                                <w:szCs w:val="96"/>
                              </w:rPr>
                              <w:t>7</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06374D" w:rsidRDefault="0006374D">
                        <w:pPr>
                          <w:pStyle w:val="NoSpacing"/>
                          <w:spacing w:line="360" w:lineRule="auto"/>
                          <w:rPr>
                            <w:color w:val="FFFFFF" w:themeColor="background1"/>
                          </w:rPr>
                        </w:pPr>
                      </w:p>
                      <w:p w:rsidR="0006374D" w:rsidRDefault="0006374D">
                        <w:pPr>
                          <w:pStyle w:val="NoSpacing"/>
                          <w:spacing w:line="360" w:lineRule="auto"/>
                          <w:rPr>
                            <w:color w:val="FFFFFF" w:themeColor="background1"/>
                          </w:rPr>
                        </w:pPr>
                      </w:p>
                      <w:p w:rsidR="0006374D" w:rsidRPr="0006374D" w:rsidRDefault="0006374D">
                        <w:pPr>
                          <w:pStyle w:val="NoSpacing"/>
                          <w:spacing w:line="360" w:lineRule="auto"/>
                          <w:rPr>
                            <w:color w:val="FFFFFF" w:themeColor="background1"/>
                            <w:sz w:val="40"/>
                            <w:szCs w:val="40"/>
                          </w:rPr>
                        </w:pPr>
                      </w:p>
                    </w:txbxContent>
                  </v:textbox>
                </v:rect>
                <w10:wrap anchorx="page" anchory="page"/>
              </v:group>
            </w:pict>
          </w:r>
        </w:p>
        <w:p w:rsidR="0006374D" w:rsidRDefault="00806481">
          <w:r>
            <w:rPr>
              <w:noProof/>
            </w:rPr>
            <w:lastRenderedPageBreak/>
            <w:drawing>
              <wp:anchor distT="0" distB="0" distL="114300" distR="114300" simplePos="0" relativeHeight="251661312" behindDoc="0" locked="0" layoutInCell="0" allowOverlap="1">
                <wp:simplePos x="0" y="0"/>
                <wp:positionH relativeFrom="page">
                  <wp:posOffset>2253366</wp:posOffset>
                </wp:positionH>
                <wp:positionV relativeFrom="page">
                  <wp:posOffset>3819773</wp:posOffset>
                </wp:positionV>
                <wp:extent cx="5495704" cy="3134802"/>
                <wp:effectExtent l="19050" t="19050" r="9746" b="27498"/>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a:stretch>
                          <a:fillRect/>
                        </a:stretch>
                      </pic:blipFill>
                      <pic:spPr>
                        <a:xfrm>
                          <a:off x="0" y="0"/>
                          <a:ext cx="5495704" cy="3134802"/>
                        </a:xfrm>
                        <a:prstGeom prst="rect">
                          <a:avLst/>
                        </a:prstGeom>
                        <a:ln w="12700">
                          <a:solidFill>
                            <a:schemeClr val="bg1"/>
                          </a:solidFill>
                        </a:ln>
                      </pic:spPr>
                    </pic:pic>
                  </a:graphicData>
                </a:graphic>
              </wp:anchor>
            </w:drawing>
          </w:r>
          <w:r w:rsidR="00AF5A4A">
            <w:rPr>
              <w:noProof/>
              <w:lang w:eastAsia="zh-TW"/>
            </w:rPr>
            <w:pict>
              <v:shapetype id="_x0000_t202" coordsize="21600,21600" o:spt="202" path="m,l,21600r21600,l21600,xe">
                <v:stroke joinstyle="miter"/>
                <v:path gradientshapeok="t" o:connecttype="rect"/>
              </v:shapetype>
              <v:shape id="_x0000_s1033" type="#_x0000_t202" style="position:absolute;margin-left:-267.85pt;margin-top:53.95pt;width:140.85pt;height:26pt;z-index:251664384;mso-position-horizontal-relative:text;mso-position-vertical-relative:text;mso-width-relative:margin;mso-height-relative:margin" filled="f" stroked="f">
                <v:textbox>
                  <w:txbxContent>
                    <w:p w:rsidR="00800839" w:rsidRPr="00800839" w:rsidRDefault="00800839">
                      <w:pPr>
                        <w:rPr>
                          <w:sz w:val="32"/>
                          <w:szCs w:val="32"/>
                        </w:rPr>
                      </w:pPr>
                      <w:r w:rsidRPr="00800839">
                        <w:rPr>
                          <w:sz w:val="32"/>
                          <w:szCs w:val="32"/>
                        </w:rPr>
                        <w:t>BURSATRA</w:t>
                      </w:r>
                    </w:p>
                  </w:txbxContent>
                </v:textbox>
              </v:shape>
            </w:pict>
          </w:r>
          <w:r w:rsidR="0006374D">
            <w:br w:type="page"/>
          </w:r>
        </w:p>
      </w:sdtContent>
    </w:sdt>
    <w:p w:rsidR="008D444E" w:rsidRDefault="008D444E" w:rsidP="00E11DAF">
      <w:pPr>
        <w:rPr>
          <w:noProof/>
          <w:sz w:val="20"/>
          <w:szCs w:val="20"/>
        </w:rPr>
        <w:sectPr w:rsidR="008D444E" w:rsidSect="00374D0B">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cols w:num="2" w:space="720"/>
          <w:titlePg/>
          <w:docGrid w:linePitch="360"/>
        </w:sectPr>
      </w:pPr>
    </w:p>
    <w:p w:rsidR="00E11DAF" w:rsidRDefault="00AF5A4A" w:rsidP="00E11DAF">
      <w:pPr>
        <w:rPr>
          <w:noProof/>
          <w:sz w:val="20"/>
          <w:szCs w:val="20"/>
        </w:rPr>
      </w:pPr>
      <w:r w:rsidRPr="00AF5A4A">
        <w:rPr>
          <w:noProof/>
        </w:rPr>
        <w:lastRenderedPageBreak/>
        <w:pict>
          <v:roundrect id="_x0000_s1035" style="position:absolute;margin-left:-9.75pt;margin-top:-7.55pt;width:150.55pt;height:23.4pt;z-index:-251650048" arcsize="10923f">
            <v:shadow on="t" offset="3pt" offset2="2pt"/>
            <v:textbox>
              <w:txbxContent>
                <w:p w:rsidR="00374D0B" w:rsidRPr="001034F5" w:rsidRDefault="00894298" w:rsidP="00374D0B">
                  <w:pPr>
                    <w:rPr>
                      <w:sz w:val="20"/>
                    </w:rPr>
                  </w:pPr>
                  <w:r>
                    <w:rPr>
                      <w:sz w:val="20"/>
                    </w:rPr>
                    <w:t>INTRODUCTION</w:t>
                  </w:r>
                </w:p>
              </w:txbxContent>
            </v:textbox>
          </v:roundrect>
        </w:pict>
      </w:r>
    </w:p>
    <w:p w:rsidR="00894298" w:rsidRDefault="00AF5A4A" w:rsidP="00DC1ABD">
      <w:pPr>
        <w:spacing w:after="100" w:afterAutospacing="1" w:line="240" w:lineRule="auto"/>
        <w:jc w:val="both"/>
        <w:rPr>
          <w:noProof/>
          <w:sz w:val="20"/>
          <w:szCs w:val="20"/>
        </w:rPr>
      </w:pPr>
      <w:r w:rsidRPr="00AF5A4A">
        <w:rPr>
          <w:b/>
          <w:bCs/>
          <w:noProof/>
          <w:sz w:val="20"/>
          <w:szCs w:val="20"/>
        </w:rPr>
        <w:pict>
          <v:roundrect id="_x0000_s1055" style="position:absolute;left:0;text-align:left;margin-left:-9.75pt;margin-top:141.45pt;width:150.55pt;height:23.4pt;z-index:-251633664" arcsize="10923f">
            <v:shadow on="t" offset="3pt" offset2="2pt"/>
            <v:textbox>
              <w:txbxContent>
                <w:p w:rsidR="00894298" w:rsidRPr="001034F5" w:rsidRDefault="00894298" w:rsidP="00894298">
                  <w:pPr>
                    <w:rPr>
                      <w:sz w:val="20"/>
                    </w:rPr>
                  </w:pPr>
                  <w:r>
                    <w:rPr>
                      <w:sz w:val="20"/>
                    </w:rPr>
                    <w:t>LEARNING BENEFITS</w:t>
                  </w:r>
                </w:p>
              </w:txbxContent>
            </v:textbox>
          </v:roundrect>
        </w:pict>
      </w:r>
      <w:r w:rsidR="00894298" w:rsidRPr="00894298">
        <w:rPr>
          <w:noProof/>
          <w:sz w:val="20"/>
          <w:szCs w:val="20"/>
        </w:rPr>
        <w:t>All private entities would be required to apply a single financial reporting framework –</w:t>
      </w:r>
      <w:r w:rsidR="000E39AB">
        <w:rPr>
          <w:noProof/>
          <w:sz w:val="20"/>
          <w:szCs w:val="20"/>
        </w:rPr>
        <w:t xml:space="preserve"> </w:t>
      </w:r>
      <w:r w:rsidR="00894298" w:rsidRPr="00894298">
        <w:rPr>
          <w:noProof/>
          <w:sz w:val="20"/>
          <w:szCs w:val="20"/>
        </w:rPr>
        <w:t xml:space="preserve">the MPERS, effective 1 January 2016. This deadline leaves little time for “Sendirian Berhads” to get a better understanding of the MPERS. This training program aims to help participants to understand the salient section of MPERS, comprehend the financial impact of MPERS and plan for the implementation of the MPERS. The course can also assist practitioners, preparers and users of financial statements keep pace </w:t>
      </w:r>
      <w:r w:rsidR="00FC2AD1">
        <w:rPr>
          <w:noProof/>
          <w:sz w:val="20"/>
          <w:szCs w:val="20"/>
        </w:rPr>
        <w:t xml:space="preserve">with </w:t>
      </w:r>
      <w:r w:rsidR="00894298" w:rsidRPr="00894298">
        <w:rPr>
          <w:noProof/>
          <w:sz w:val="20"/>
          <w:szCs w:val="20"/>
        </w:rPr>
        <w:t>the new accounting pronouncements.</w:t>
      </w:r>
    </w:p>
    <w:p w:rsidR="00894298" w:rsidRPr="00894298" w:rsidRDefault="00894298" w:rsidP="00374D0B">
      <w:pPr>
        <w:jc w:val="both"/>
        <w:rPr>
          <w:b/>
          <w:bCs/>
          <w:noProof/>
          <w:sz w:val="20"/>
          <w:szCs w:val="20"/>
        </w:rPr>
      </w:pPr>
    </w:p>
    <w:p w:rsidR="00894298" w:rsidRPr="00894298" w:rsidRDefault="00894298" w:rsidP="00894298">
      <w:pPr>
        <w:pStyle w:val="ListParagraph"/>
        <w:numPr>
          <w:ilvl w:val="0"/>
          <w:numId w:val="16"/>
        </w:numPr>
        <w:spacing w:after="100" w:afterAutospacing="1" w:line="240" w:lineRule="auto"/>
        <w:ind w:left="274" w:hanging="274"/>
        <w:jc w:val="both"/>
        <w:rPr>
          <w:noProof/>
          <w:sz w:val="20"/>
          <w:szCs w:val="20"/>
        </w:rPr>
      </w:pPr>
      <w:r w:rsidRPr="00894298">
        <w:rPr>
          <w:noProof/>
          <w:sz w:val="20"/>
          <w:szCs w:val="20"/>
        </w:rPr>
        <w:t xml:space="preserve">The  preparer will learn and improve the level of financial reporting and keep up with </w:t>
      </w:r>
      <w:r w:rsidR="00001CE3">
        <w:rPr>
          <w:noProof/>
          <w:sz w:val="20"/>
          <w:szCs w:val="20"/>
        </w:rPr>
        <w:t xml:space="preserve">the </w:t>
      </w:r>
      <w:r w:rsidRPr="00894298">
        <w:rPr>
          <w:noProof/>
          <w:sz w:val="20"/>
          <w:szCs w:val="20"/>
        </w:rPr>
        <w:t>new way</w:t>
      </w:r>
      <w:r w:rsidR="00001CE3">
        <w:rPr>
          <w:noProof/>
          <w:sz w:val="20"/>
          <w:szCs w:val="20"/>
        </w:rPr>
        <w:t>s</w:t>
      </w:r>
      <w:r w:rsidRPr="00894298">
        <w:rPr>
          <w:noProof/>
          <w:sz w:val="20"/>
          <w:szCs w:val="20"/>
        </w:rPr>
        <w:t xml:space="preserve"> business evolve and increase expectation from user of financial statement. </w:t>
      </w:r>
    </w:p>
    <w:p w:rsidR="00894298" w:rsidRPr="00894298" w:rsidRDefault="00894298" w:rsidP="00894298">
      <w:pPr>
        <w:pStyle w:val="ListParagraph"/>
        <w:numPr>
          <w:ilvl w:val="0"/>
          <w:numId w:val="16"/>
        </w:numPr>
        <w:spacing w:after="100" w:afterAutospacing="1" w:line="240" w:lineRule="auto"/>
        <w:ind w:left="274" w:hanging="274"/>
        <w:jc w:val="both"/>
        <w:rPr>
          <w:noProof/>
          <w:sz w:val="20"/>
          <w:szCs w:val="20"/>
        </w:rPr>
      </w:pPr>
      <w:r w:rsidRPr="00894298">
        <w:rPr>
          <w:noProof/>
          <w:sz w:val="20"/>
          <w:szCs w:val="20"/>
        </w:rPr>
        <w:t xml:space="preserve">Ensure smooth transition to MPERS and practical brief on applying the salient technical requirements of MPERS </w:t>
      </w:r>
    </w:p>
    <w:p w:rsidR="00894298" w:rsidRPr="00894298" w:rsidRDefault="00894298" w:rsidP="00894298">
      <w:pPr>
        <w:pStyle w:val="ListParagraph"/>
        <w:numPr>
          <w:ilvl w:val="0"/>
          <w:numId w:val="16"/>
        </w:numPr>
        <w:spacing w:after="100" w:afterAutospacing="1" w:line="240" w:lineRule="auto"/>
        <w:ind w:left="274" w:hanging="274"/>
        <w:jc w:val="both"/>
        <w:rPr>
          <w:noProof/>
          <w:sz w:val="20"/>
          <w:szCs w:val="20"/>
        </w:rPr>
      </w:pPr>
      <w:r w:rsidRPr="00894298">
        <w:rPr>
          <w:noProof/>
          <w:sz w:val="20"/>
          <w:szCs w:val="20"/>
        </w:rPr>
        <w:t xml:space="preserve">Better understanding </w:t>
      </w:r>
      <w:r w:rsidR="00001CE3">
        <w:rPr>
          <w:noProof/>
          <w:sz w:val="20"/>
          <w:szCs w:val="20"/>
        </w:rPr>
        <w:t xml:space="preserve">of </w:t>
      </w:r>
      <w:r w:rsidRPr="00894298">
        <w:rPr>
          <w:noProof/>
          <w:sz w:val="20"/>
          <w:szCs w:val="20"/>
        </w:rPr>
        <w:t xml:space="preserve">the MPERS requirement and disclosure requirement </w:t>
      </w:r>
    </w:p>
    <w:p w:rsidR="00894298" w:rsidRPr="00894298" w:rsidRDefault="00AF5A4A" w:rsidP="00894298">
      <w:pPr>
        <w:pStyle w:val="ListParagraph"/>
        <w:numPr>
          <w:ilvl w:val="0"/>
          <w:numId w:val="16"/>
        </w:numPr>
        <w:spacing w:after="100" w:afterAutospacing="1" w:line="240" w:lineRule="auto"/>
        <w:ind w:left="274" w:hanging="274"/>
        <w:jc w:val="both"/>
        <w:rPr>
          <w:noProof/>
          <w:sz w:val="20"/>
          <w:szCs w:val="20"/>
        </w:rPr>
      </w:pPr>
      <w:r>
        <w:rPr>
          <w:noProof/>
          <w:sz w:val="20"/>
          <w:szCs w:val="20"/>
        </w:rPr>
        <w:pict>
          <v:roundrect id="_x0000_s1052" style="position:absolute;left:0;text-align:left;margin-left:-9.75pt;margin-top:34.7pt;width:150.55pt;height:23.4pt;z-index:-251635712" arcsize="10923f">
            <v:shadow on="t" offset="3pt" offset2="2pt"/>
            <v:textbox>
              <w:txbxContent>
                <w:p w:rsidR="00383152" w:rsidRPr="001034F5" w:rsidRDefault="00383152" w:rsidP="00383152">
                  <w:pPr>
                    <w:rPr>
                      <w:sz w:val="20"/>
                    </w:rPr>
                  </w:pPr>
                  <w:r>
                    <w:rPr>
                      <w:sz w:val="20"/>
                    </w:rPr>
                    <w:t>COURSE METHODOLOGY</w:t>
                  </w:r>
                </w:p>
              </w:txbxContent>
            </v:textbox>
          </v:roundrect>
        </w:pict>
      </w:r>
      <w:r w:rsidR="00894298" w:rsidRPr="00894298">
        <w:rPr>
          <w:noProof/>
          <w:sz w:val="20"/>
          <w:szCs w:val="20"/>
        </w:rPr>
        <w:t>Rely less on external auditor by building up your own knowledge</w:t>
      </w:r>
    </w:p>
    <w:p w:rsidR="00E51EA5" w:rsidRDefault="00E51EA5" w:rsidP="00374D0B">
      <w:pPr>
        <w:jc w:val="both"/>
        <w:rPr>
          <w:noProof/>
          <w:sz w:val="20"/>
          <w:szCs w:val="20"/>
        </w:rPr>
      </w:pPr>
    </w:p>
    <w:p w:rsidR="00894298" w:rsidRDefault="00AF5A4A" w:rsidP="00027B2A">
      <w:pPr>
        <w:pStyle w:val="ListParagraph"/>
        <w:numPr>
          <w:ilvl w:val="0"/>
          <w:numId w:val="6"/>
        </w:numPr>
        <w:spacing w:after="100" w:afterAutospacing="1" w:line="240" w:lineRule="auto"/>
        <w:ind w:left="274" w:hanging="274"/>
        <w:jc w:val="both"/>
        <w:rPr>
          <w:noProof/>
          <w:sz w:val="20"/>
          <w:szCs w:val="20"/>
        </w:rPr>
      </w:pPr>
      <w:r w:rsidRPr="00AF5A4A">
        <w:rPr>
          <w:noProof/>
        </w:rPr>
        <w:pict>
          <v:roundrect id="_x0000_s1037" style="position:absolute;left:0;text-align:left;margin-left:-9.75pt;margin-top:45.35pt;width:150.55pt;height:23.4pt;z-index:-251648000" arcsize="10923f">
            <v:shadow on="t" offset="3pt" offset2="2pt"/>
            <v:textbox style="mso-next-textbox:#_x0000_s1037">
              <w:txbxContent>
                <w:p w:rsidR="00374D0B" w:rsidRPr="001034F5" w:rsidRDefault="00374D0B" w:rsidP="00374D0B">
                  <w:pPr>
                    <w:rPr>
                      <w:sz w:val="20"/>
                    </w:rPr>
                  </w:pPr>
                  <w:r>
                    <w:rPr>
                      <w:sz w:val="20"/>
                    </w:rPr>
                    <w:t>COURSE CONTENT</w:t>
                  </w:r>
                </w:p>
              </w:txbxContent>
            </v:textbox>
          </v:roundrect>
        </w:pict>
      </w:r>
      <w:r w:rsidR="00894298" w:rsidRPr="00894298">
        <w:rPr>
          <w:noProof/>
          <w:sz w:val="20"/>
          <w:szCs w:val="20"/>
        </w:rPr>
        <w:t>Lecture supported with power point presentation and  discussion, use of illustrative examples, Q &amp; A session</w:t>
      </w:r>
    </w:p>
    <w:p w:rsidR="00383152" w:rsidRPr="00894298" w:rsidRDefault="00383152" w:rsidP="00894298">
      <w:pPr>
        <w:spacing w:after="100" w:afterAutospacing="1" w:line="240" w:lineRule="auto"/>
        <w:jc w:val="both"/>
        <w:rPr>
          <w:noProof/>
          <w:sz w:val="20"/>
          <w:szCs w:val="20"/>
        </w:rPr>
      </w:pPr>
    </w:p>
    <w:p w:rsidR="00894298" w:rsidRPr="00894298" w:rsidRDefault="00894298" w:rsidP="00894298">
      <w:pPr>
        <w:spacing w:after="0" w:line="240" w:lineRule="auto"/>
        <w:rPr>
          <w:b/>
          <w:bCs/>
          <w:sz w:val="20"/>
          <w:szCs w:val="20"/>
        </w:rPr>
      </w:pPr>
      <w:r w:rsidRPr="00894298">
        <w:rPr>
          <w:b/>
          <w:bCs/>
          <w:sz w:val="20"/>
          <w:szCs w:val="20"/>
        </w:rPr>
        <w:t>Private Entities</w:t>
      </w:r>
    </w:p>
    <w:p w:rsidR="00894298" w:rsidRPr="00894298" w:rsidRDefault="00894298" w:rsidP="00894298">
      <w:pPr>
        <w:pStyle w:val="ListParagraph"/>
        <w:numPr>
          <w:ilvl w:val="0"/>
          <w:numId w:val="17"/>
        </w:numPr>
        <w:spacing w:after="0" w:line="240" w:lineRule="auto"/>
        <w:ind w:left="274" w:hanging="274"/>
        <w:rPr>
          <w:sz w:val="20"/>
          <w:szCs w:val="20"/>
        </w:rPr>
      </w:pPr>
      <w:r w:rsidRPr="00894298">
        <w:rPr>
          <w:sz w:val="20"/>
          <w:szCs w:val="20"/>
        </w:rPr>
        <w:t xml:space="preserve">Background to MPERS </w:t>
      </w:r>
    </w:p>
    <w:p w:rsidR="00894298" w:rsidRPr="00894298" w:rsidRDefault="00894298" w:rsidP="00894298">
      <w:pPr>
        <w:pStyle w:val="ListParagraph"/>
        <w:numPr>
          <w:ilvl w:val="0"/>
          <w:numId w:val="17"/>
        </w:numPr>
        <w:spacing w:after="0" w:line="240" w:lineRule="auto"/>
        <w:ind w:left="274" w:hanging="274"/>
        <w:rPr>
          <w:sz w:val="20"/>
          <w:szCs w:val="20"/>
        </w:rPr>
      </w:pPr>
      <w:r w:rsidRPr="00894298">
        <w:rPr>
          <w:sz w:val="20"/>
          <w:szCs w:val="20"/>
        </w:rPr>
        <w:t>Scope of the Section</w:t>
      </w:r>
    </w:p>
    <w:p w:rsidR="00894298" w:rsidRPr="00894298" w:rsidRDefault="00894298" w:rsidP="00894298">
      <w:pPr>
        <w:pStyle w:val="ListParagraph"/>
        <w:numPr>
          <w:ilvl w:val="0"/>
          <w:numId w:val="17"/>
        </w:numPr>
        <w:spacing w:after="0" w:line="240" w:lineRule="auto"/>
        <w:ind w:left="274" w:hanging="274"/>
        <w:rPr>
          <w:sz w:val="20"/>
          <w:szCs w:val="20"/>
        </w:rPr>
      </w:pPr>
      <w:r w:rsidRPr="00894298">
        <w:rPr>
          <w:sz w:val="20"/>
          <w:szCs w:val="20"/>
        </w:rPr>
        <w:t>Overview of selected sections of MPERS</w:t>
      </w:r>
    </w:p>
    <w:p w:rsidR="00894298" w:rsidRPr="00894298" w:rsidRDefault="00894298" w:rsidP="00894298">
      <w:pPr>
        <w:pStyle w:val="ListParagraph"/>
        <w:numPr>
          <w:ilvl w:val="0"/>
          <w:numId w:val="17"/>
        </w:numPr>
        <w:spacing w:after="0" w:line="240" w:lineRule="auto"/>
        <w:ind w:left="274" w:hanging="274"/>
        <w:rPr>
          <w:sz w:val="20"/>
          <w:szCs w:val="20"/>
        </w:rPr>
      </w:pPr>
      <w:r w:rsidRPr="00894298">
        <w:rPr>
          <w:sz w:val="20"/>
          <w:szCs w:val="20"/>
        </w:rPr>
        <w:t>Brief on the differences between MFRS and MPERS</w:t>
      </w:r>
    </w:p>
    <w:p w:rsidR="00B01C0F" w:rsidRPr="00894298" w:rsidRDefault="00894298" w:rsidP="00E51EA5">
      <w:pPr>
        <w:spacing w:after="0" w:line="240" w:lineRule="auto"/>
        <w:jc w:val="both"/>
        <w:rPr>
          <w:b/>
          <w:bCs/>
          <w:sz w:val="20"/>
          <w:szCs w:val="20"/>
        </w:rPr>
      </w:pPr>
      <w:r w:rsidRPr="00894298">
        <w:rPr>
          <w:b/>
          <w:bCs/>
          <w:sz w:val="20"/>
          <w:szCs w:val="20"/>
        </w:rPr>
        <w:t>Presentation of Financial Statements</w:t>
      </w:r>
    </w:p>
    <w:p w:rsidR="00894298" w:rsidRPr="00DC1ABD" w:rsidRDefault="00894298" w:rsidP="00DC1ABD">
      <w:pPr>
        <w:pStyle w:val="ListParagraph"/>
        <w:numPr>
          <w:ilvl w:val="0"/>
          <w:numId w:val="18"/>
        </w:numPr>
        <w:spacing w:after="0" w:line="240" w:lineRule="auto"/>
        <w:ind w:left="270" w:hanging="270"/>
        <w:rPr>
          <w:sz w:val="20"/>
          <w:szCs w:val="20"/>
        </w:rPr>
      </w:pPr>
      <w:r w:rsidRPr="00DC1ABD">
        <w:rPr>
          <w:sz w:val="20"/>
          <w:szCs w:val="20"/>
        </w:rPr>
        <w:t xml:space="preserve">Fair Presentation </w:t>
      </w:r>
    </w:p>
    <w:p w:rsidR="00894298" w:rsidRPr="00DC1ABD" w:rsidRDefault="00894298" w:rsidP="00DC1ABD">
      <w:pPr>
        <w:pStyle w:val="ListParagraph"/>
        <w:numPr>
          <w:ilvl w:val="0"/>
          <w:numId w:val="18"/>
        </w:numPr>
        <w:spacing w:after="0" w:line="240" w:lineRule="auto"/>
        <w:ind w:left="270" w:hanging="270"/>
        <w:rPr>
          <w:sz w:val="20"/>
          <w:szCs w:val="20"/>
        </w:rPr>
      </w:pPr>
      <w:r w:rsidRPr="00DC1ABD">
        <w:rPr>
          <w:sz w:val="20"/>
          <w:szCs w:val="20"/>
        </w:rPr>
        <w:t xml:space="preserve">New terms and information to be presented  </w:t>
      </w:r>
    </w:p>
    <w:p w:rsidR="00894298" w:rsidRPr="00DC1ABD" w:rsidRDefault="00894298" w:rsidP="00DC1ABD">
      <w:pPr>
        <w:pStyle w:val="ListParagraph"/>
        <w:numPr>
          <w:ilvl w:val="0"/>
          <w:numId w:val="18"/>
        </w:numPr>
        <w:spacing w:after="0" w:line="240" w:lineRule="auto"/>
        <w:ind w:left="270" w:hanging="270"/>
        <w:rPr>
          <w:sz w:val="20"/>
          <w:szCs w:val="20"/>
        </w:rPr>
      </w:pPr>
      <w:r w:rsidRPr="00DC1ABD">
        <w:rPr>
          <w:sz w:val="20"/>
          <w:szCs w:val="20"/>
        </w:rPr>
        <w:t xml:space="preserve">Complete Set of Financial statement </w:t>
      </w:r>
    </w:p>
    <w:p w:rsidR="00894298" w:rsidRDefault="00894298" w:rsidP="00DC1ABD">
      <w:pPr>
        <w:pStyle w:val="ListParagraph"/>
        <w:numPr>
          <w:ilvl w:val="0"/>
          <w:numId w:val="18"/>
        </w:numPr>
        <w:spacing w:after="0" w:line="240" w:lineRule="auto"/>
        <w:ind w:left="270" w:hanging="270"/>
        <w:jc w:val="both"/>
        <w:rPr>
          <w:sz w:val="20"/>
          <w:szCs w:val="20"/>
        </w:rPr>
      </w:pPr>
      <w:r w:rsidRPr="00DC1ABD">
        <w:rPr>
          <w:sz w:val="20"/>
          <w:szCs w:val="20"/>
        </w:rPr>
        <w:t>Other comprehensive income</w:t>
      </w:r>
    </w:p>
    <w:p w:rsidR="00DC1ABD" w:rsidRPr="00DC1ABD" w:rsidRDefault="00DC1ABD" w:rsidP="00DC1ABD">
      <w:pPr>
        <w:spacing w:after="0" w:line="240" w:lineRule="auto"/>
        <w:jc w:val="both"/>
        <w:rPr>
          <w:b/>
          <w:bCs/>
          <w:sz w:val="20"/>
          <w:szCs w:val="20"/>
        </w:rPr>
      </w:pPr>
      <w:r w:rsidRPr="00DC1ABD">
        <w:rPr>
          <w:b/>
          <w:bCs/>
          <w:sz w:val="20"/>
          <w:szCs w:val="20"/>
        </w:rPr>
        <w:t>Statement of changes in Equity</w:t>
      </w:r>
    </w:p>
    <w:p w:rsidR="00DC1ABD" w:rsidRPr="00DC1ABD" w:rsidRDefault="00DC1ABD" w:rsidP="00DC1ABD">
      <w:pPr>
        <w:pStyle w:val="ListParagraph"/>
        <w:numPr>
          <w:ilvl w:val="0"/>
          <w:numId w:val="19"/>
        </w:numPr>
        <w:spacing w:after="0" w:line="240" w:lineRule="auto"/>
        <w:ind w:left="270" w:hanging="270"/>
        <w:rPr>
          <w:sz w:val="20"/>
          <w:szCs w:val="20"/>
        </w:rPr>
      </w:pPr>
      <w:r w:rsidRPr="00DC1ABD">
        <w:rPr>
          <w:sz w:val="20"/>
          <w:szCs w:val="20"/>
        </w:rPr>
        <w:t xml:space="preserve">Purposes of the statement of changes in equity </w:t>
      </w:r>
    </w:p>
    <w:p w:rsidR="00894298" w:rsidRPr="00DC1ABD" w:rsidRDefault="00DC1ABD" w:rsidP="00DC1ABD">
      <w:pPr>
        <w:pStyle w:val="ListParagraph"/>
        <w:numPr>
          <w:ilvl w:val="0"/>
          <w:numId w:val="19"/>
        </w:numPr>
        <w:spacing w:after="0" w:line="240" w:lineRule="auto"/>
        <w:ind w:left="270" w:hanging="270"/>
        <w:jc w:val="both"/>
        <w:rPr>
          <w:sz w:val="20"/>
          <w:szCs w:val="20"/>
        </w:rPr>
      </w:pPr>
      <w:r w:rsidRPr="00DC1ABD">
        <w:rPr>
          <w:sz w:val="20"/>
          <w:szCs w:val="20"/>
        </w:rPr>
        <w:t>Presentation of owner changes in equity</w:t>
      </w:r>
    </w:p>
    <w:p w:rsidR="00894298" w:rsidRPr="00DC1ABD" w:rsidRDefault="00DC1ABD" w:rsidP="00E51EA5">
      <w:pPr>
        <w:spacing w:after="0" w:line="240" w:lineRule="auto"/>
        <w:jc w:val="both"/>
        <w:rPr>
          <w:b/>
          <w:bCs/>
          <w:sz w:val="20"/>
          <w:szCs w:val="20"/>
        </w:rPr>
      </w:pPr>
      <w:r w:rsidRPr="00DC1ABD">
        <w:rPr>
          <w:b/>
          <w:bCs/>
          <w:sz w:val="20"/>
          <w:szCs w:val="20"/>
        </w:rPr>
        <w:t>Property, plant &amp; Equipment (PPE)</w:t>
      </w:r>
    </w:p>
    <w:p w:rsidR="00DC1ABD" w:rsidRPr="00DC1ABD" w:rsidRDefault="00DC1ABD" w:rsidP="00DC1ABD">
      <w:pPr>
        <w:pStyle w:val="ListParagraph"/>
        <w:numPr>
          <w:ilvl w:val="0"/>
          <w:numId w:val="20"/>
        </w:numPr>
        <w:spacing w:after="0" w:line="240" w:lineRule="auto"/>
        <w:ind w:left="270" w:hanging="270"/>
        <w:rPr>
          <w:sz w:val="20"/>
          <w:szCs w:val="20"/>
        </w:rPr>
      </w:pPr>
      <w:r w:rsidRPr="00DC1ABD">
        <w:rPr>
          <w:sz w:val="20"/>
          <w:szCs w:val="20"/>
        </w:rPr>
        <w:t>Recognition Principle –A component approach</w:t>
      </w:r>
    </w:p>
    <w:p w:rsidR="00DC1ABD" w:rsidRPr="00DC1ABD" w:rsidRDefault="00DC1ABD" w:rsidP="00DC1ABD">
      <w:pPr>
        <w:pStyle w:val="ListParagraph"/>
        <w:numPr>
          <w:ilvl w:val="0"/>
          <w:numId w:val="20"/>
        </w:numPr>
        <w:spacing w:after="0" w:line="240" w:lineRule="auto"/>
        <w:ind w:left="270" w:hanging="270"/>
        <w:rPr>
          <w:sz w:val="20"/>
          <w:szCs w:val="20"/>
        </w:rPr>
      </w:pPr>
      <w:r w:rsidRPr="00DC1ABD">
        <w:rPr>
          <w:sz w:val="20"/>
          <w:szCs w:val="20"/>
        </w:rPr>
        <w:lastRenderedPageBreak/>
        <w:t>Measurement at Recognition</w:t>
      </w:r>
    </w:p>
    <w:p w:rsidR="00DC1ABD" w:rsidRPr="00DC1ABD" w:rsidRDefault="00DC1ABD" w:rsidP="00DC1ABD">
      <w:pPr>
        <w:pStyle w:val="ListParagraph"/>
        <w:numPr>
          <w:ilvl w:val="0"/>
          <w:numId w:val="20"/>
        </w:numPr>
        <w:spacing w:after="0" w:line="240" w:lineRule="auto"/>
        <w:ind w:left="270" w:hanging="270"/>
        <w:rPr>
          <w:sz w:val="20"/>
          <w:szCs w:val="20"/>
        </w:rPr>
      </w:pPr>
      <w:r w:rsidRPr="00DC1ABD">
        <w:rPr>
          <w:sz w:val="20"/>
          <w:szCs w:val="20"/>
        </w:rPr>
        <w:t xml:space="preserve">Subsequent costs on PPE  </w:t>
      </w:r>
    </w:p>
    <w:p w:rsidR="00DC1ABD" w:rsidRPr="00DC1ABD" w:rsidRDefault="00DC1ABD" w:rsidP="00DC1ABD">
      <w:pPr>
        <w:pStyle w:val="ListParagraph"/>
        <w:numPr>
          <w:ilvl w:val="0"/>
          <w:numId w:val="20"/>
        </w:numPr>
        <w:spacing w:after="0" w:line="240" w:lineRule="auto"/>
        <w:ind w:left="270" w:hanging="270"/>
        <w:rPr>
          <w:sz w:val="20"/>
          <w:szCs w:val="20"/>
        </w:rPr>
      </w:pPr>
      <w:r w:rsidRPr="00DC1ABD">
        <w:rPr>
          <w:sz w:val="20"/>
          <w:szCs w:val="20"/>
        </w:rPr>
        <w:t xml:space="preserve">Depreciation accounting on PPE </w:t>
      </w:r>
    </w:p>
    <w:p w:rsidR="00DC1ABD" w:rsidRPr="00DC1ABD" w:rsidRDefault="00DC1ABD" w:rsidP="00DC1ABD">
      <w:pPr>
        <w:pStyle w:val="ListParagraph"/>
        <w:numPr>
          <w:ilvl w:val="0"/>
          <w:numId w:val="20"/>
        </w:numPr>
        <w:spacing w:after="0" w:line="240" w:lineRule="auto"/>
        <w:ind w:left="270" w:hanging="270"/>
        <w:rPr>
          <w:sz w:val="20"/>
          <w:szCs w:val="20"/>
        </w:rPr>
      </w:pPr>
      <w:r w:rsidRPr="00DC1ABD">
        <w:rPr>
          <w:sz w:val="20"/>
          <w:szCs w:val="20"/>
        </w:rPr>
        <w:t xml:space="preserve">The issue of depreciation , Residual value and Fair value </w:t>
      </w:r>
    </w:p>
    <w:p w:rsidR="00DC1ABD" w:rsidRPr="00DC1ABD" w:rsidRDefault="00DC1ABD" w:rsidP="00DC1ABD">
      <w:pPr>
        <w:pStyle w:val="ListParagraph"/>
        <w:numPr>
          <w:ilvl w:val="0"/>
          <w:numId w:val="20"/>
        </w:numPr>
        <w:spacing w:after="0" w:line="240" w:lineRule="auto"/>
        <w:ind w:left="270" w:hanging="270"/>
        <w:jc w:val="both"/>
        <w:rPr>
          <w:sz w:val="20"/>
          <w:szCs w:val="20"/>
        </w:rPr>
      </w:pPr>
      <w:r w:rsidRPr="00DC1ABD">
        <w:rPr>
          <w:sz w:val="20"/>
          <w:szCs w:val="20"/>
        </w:rPr>
        <w:t xml:space="preserve">De-recognition of PPE  </w:t>
      </w:r>
    </w:p>
    <w:p w:rsidR="00DC1ABD" w:rsidRPr="00DC1ABD" w:rsidRDefault="00DC1ABD" w:rsidP="00E51EA5">
      <w:pPr>
        <w:spacing w:after="0" w:line="240" w:lineRule="auto"/>
        <w:jc w:val="both"/>
        <w:rPr>
          <w:b/>
          <w:bCs/>
          <w:sz w:val="20"/>
          <w:szCs w:val="20"/>
        </w:rPr>
      </w:pPr>
      <w:r w:rsidRPr="00DC1ABD">
        <w:rPr>
          <w:b/>
          <w:bCs/>
          <w:sz w:val="20"/>
          <w:szCs w:val="20"/>
        </w:rPr>
        <w:t>Impairment of assets</w:t>
      </w:r>
    </w:p>
    <w:p w:rsidR="00DC1ABD" w:rsidRPr="00DC1ABD" w:rsidRDefault="00DC1ABD" w:rsidP="00DC1ABD">
      <w:pPr>
        <w:pStyle w:val="ListParagraph"/>
        <w:numPr>
          <w:ilvl w:val="0"/>
          <w:numId w:val="21"/>
        </w:numPr>
        <w:spacing w:after="0" w:line="240" w:lineRule="auto"/>
        <w:ind w:left="270" w:hanging="270"/>
        <w:rPr>
          <w:sz w:val="20"/>
          <w:szCs w:val="20"/>
        </w:rPr>
      </w:pPr>
      <w:r w:rsidRPr="00DC1ABD">
        <w:rPr>
          <w:sz w:val="20"/>
          <w:szCs w:val="20"/>
        </w:rPr>
        <w:t xml:space="preserve">Measurement of Recoverable amount </w:t>
      </w:r>
    </w:p>
    <w:p w:rsidR="00DC1ABD" w:rsidRPr="00DC1ABD" w:rsidRDefault="00DC1ABD" w:rsidP="00DC1ABD">
      <w:pPr>
        <w:pStyle w:val="ListParagraph"/>
        <w:numPr>
          <w:ilvl w:val="0"/>
          <w:numId w:val="21"/>
        </w:numPr>
        <w:spacing w:after="0" w:line="240" w:lineRule="auto"/>
        <w:ind w:left="270" w:hanging="270"/>
        <w:rPr>
          <w:sz w:val="20"/>
          <w:szCs w:val="20"/>
        </w:rPr>
      </w:pPr>
      <w:r w:rsidRPr="00DC1ABD">
        <w:rPr>
          <w:sz w:val="20"/>
          <w:szCs w:val="20"/>
        </w:rPr>
        <w:t xml:space="preserve">Fair value less costs to sell </w:t>
      </w:r>
    </w:p>
    <w:p w:rsidR="00DC1ABD" w:rsidRPr="00DC1ABD" w:rsidRDefault="00DC1ABD" w:rsidP="00DC1ABD">
      <w:pPr>
        <w:pStyle w:val="ListParagraph"/>
        <w:numPr>
          <w:ilvl w:val="0"/>
          <w:numId w:val="21"/>
        </w:numPr>
        <w:spacing w:after="0" w:line="240" w:lineRule="auto"/>
        <w:ind w:left="270" w:hanging="270"/>
        <w:rPr>
          <w:sz w:val="20"/>
          <w:szCs w:val="20"/>
        </w:rPr>
      </w:pPr>
      <w:r w:rsidRPr="00DC1ABD">
        <w:rPr>
          <w:sz w:val="20"/>
          <w:szCs w:val="20"/>
        </w:rPr>
        <w:t xml:space="preserve">Value in use </w:t>
      </w:r>
    </w:p>
    <w:p w:rsidR="00DC1ABD" w:rsidRPr="00DC1ABD" w:rsidRDefault="00DC1ABD" w:rsidP="00DC1ABD">
      <w:pPr>
        <w:pStyle w:val="ListParagraph"/>
        <w:numPr>
          <w:ilvl w:val="0"/>
          <w:numId w:val="21"/>
        </w:numPr>
        <w:spacing w:after="0" w:line="240" w:lineRule="auto"/>
        <w:ind w:left="270" w:hanging="270"/>
        <w:rPr>
          <w:sz w:val="20"/>
          <w:szCs w:val="20"/>
        </w:rPr>
      </w:pPr>
      <w:r w:rsidRPr="00DC1ABD">
        <w:rPr>
          <w:sz w:val="20"/>
          <w:szCs w:val="20"/>
        </w:rPr>
        <w:t xml:space="preserve">Recognition and measurement of an impairment loss </w:t>
      </w:r>
    </w:p>
    <w:p w:rsidR="00DC1ABD" w:rsidRPr="00DC1ABD" w:rsidRDefault="00DC1ABD" w:rsidP="00DC1ABD">
      <w:pPr>
        <w:pStyle w:val="ListParagraph"/>
        <w:numPr>
          <w:ilvl w:val="0"/>
          <w:numId w:val="21"/>
        </w:numPr>
        <w:spacing w:after="0" w:line="240" w:lineRule="auto"/>
        <w:ind w:left="270" w:hanging="270"/>
        <w:rPr>
          <w:sz w:val="20"/>
          <w:szCs w:val="20"/>
        </w:rPr>
      </w:pPr>
      <w:r w:rsidRPr="00DC1ABD">
        <w:rPr>
          <w:sz w:val="20"/>
          <w:szCs w:val="20"/>
        </w:rPr>
        <w:t>Changes in Estimates</w:t>
      </w:r>
    </w:p>
    <w:p w:rsidR="00DC1ABD" w:rsidRPr="00DC1ABD" w:rsidRDefault="00DC1ABD" w:rsidP="00DC1ABD">
      <w:pPr>
        <w:pStyle w:val="ListParagraph"/>
        <w:numPr>
          <w:ilvl w:val="0"/>
          <w:numId w:val="21"/>
        </w:numPr>
        <w:spacing w:after="0" w:line="240" w:lineRule="auto"/>
        <w:ind w:left="270" w:hanging="270"/>
        <w:jc w:val="both"/>
        <w:rPr>
          <w:sz w:val="20"/>
          <w:szCs w:val="20"/>
        </w:rPr>
      </w:pPr>
      <w:r w:rsidRPr="00DC1ABD">
        <w:rPr>
          <w:sz w:val="20"/>
          <w:szCs w:val="20"/>
        </w:rPr>
        <w:t>Cash–Generating Units (CGU)</w:t>
      </w:r>
    </w:p>
    <w:p w:rsidR="00DC1ABD" w:rsidRPr="00DC1ABD" w:rsidRDefault="00001CE3" w:rsidP="00001CE3">
      <w:pPr>
        <w:spacing w:after="0" w:line="240" w:lineRule="auto"/>
        <w:rPr>
          <w:b/>
          <w:bCs/>
          <w:sz w:val="20"/>
          <w:szCs w:val="20"/>
        </w:rPr>
      </w:pPr>
      <w:r>
        <w:rPr>
          <w:b/>
          <w:bCs/>
          <w:sz w:val="20"/>
          <w:szCs w:val="20"/>
        </w:rPr>
        <w:t>First-</w:t>
      </w:r>
      <w:r w:rsidR="00DC1ABD" w:rsidRPr="00DC1ABD">
        <w:rPr>
          <w:b/>
          <w:bCs/>
          <w:sz w:val="20"/>
          <w:szCs w:val="20"/>
        </w:rPr>
        <w:t>time Adoption of MPERS (application of Section 35)</w:t>
      </w:r>
    </w:p>
    <w:p w:rsidR="00DC1ABD" w:rsidRPr="00DC1ABD" w:rsidRDefault="00DC1ABD" w:rsidP="00DC1ABD">
      <w:pPr>
        <w:pStyle w:val="ListParagraph"/>
        <w:numPr>
          <w:ilvl w:val="0"/>
          <w:numId w:val="22"/>
        </w:numPr>
        <w:spacing w:after="0" w:line="240" w:lineRule="auto"/>
        <w:ind w:left="270" w:hanging="270"/>
        <w:rPr>
          <w:sz w:val="20"/>
          <w:szCs w:val="20"/>
        </w:rPr>
      </w:pPr>
      <w:r w:rsidRPr="00DC1ABD">
        <w:rPr>
          <w:sz w:val="20"/>
          <w:szCs w:val="20"/>
        </w:rPr>
        <w:t>Practical consideration on the transition process</w:t>
      </w:r>
    </w:p>
    <w:p w:rsidR="00DC1ABD" w:rsidRPr="00DC1ABD" w:rsidRDefault="00DC1ABD" w:rsidP="00DC1ABD">
      <w:pPr>
        <w:pStyle w:val="ListParagraph"/>
        <w:numPr>
          <w:ilvl w:val="0"/>
          <w:numId w:val="22"/>
        </w:numPr>
        <w:spacing w:after="0" w:line="240" w:lineRule="auto"/>
        <w:ind w:left="270" w:hanging="270"/>
        <w:rPr>
          <w:sz w:val="20"/>
          <w:szCs w:val="20"/>
        </w:rPr>
      </w:pPr>
      <w:r w:rsidRPr="00DC1ABD">
        <w:rPr>
          <w:sz w:val="20"/>
          <w:szCs w:val="20"/>
        </w:rPr>
        <w:t xml:space="preserve">General principles of Section 35     </w:t>
      </w:r>
    </w:p>
    <w:p w:rsidR="00DC1ABD" w:rsidRPr="00DC1ABD" w:rsidRDefault="00DC1ABD" w:rsidP="00DC1ABD">
      <w:pPr>
        <w:pStyle w:val="ListParagraph"/>
        <w:numPr>
          <w:ilvl w:val="0"/>
          <w:numId w:val="22"/>
        </w:numPr>
        <w:spacing w:after="0" w:line="240" w:lineRule="auto"/>
        <w:ind w:left="270" w:hanging="270"/>
        <w:rPr>
          <w:sz w:val="20"/>
          <w:szCs w:val="20"/>
        </w:rPr>
      </w:pPr>
      <w:r w:rsidRPr="00DC1ABD">
        <w:rPr>
          <w:sz w:val="20"/>
          <w:szCs w:val="20"/>
        </w:rPr>
        <w:t xml:space="preserve">Opening MPERS statement of Financial Position  </w:t>
      </w:r>
    </w:p>
    <w:p w:rsidR="00DC1ABD" w:rsidRPr="00DC1ABD" w:rsidRDefault="00DC1ABD" w:rsidP="00DC1ABD">
      <w:pPr>
        <w:pStyle w:val="ListParagraph"/>
        <w:numPr>
          <w:ilvl w:val="0"/>
          <w:numId w:val="22"/>
        </w:numPr>
        <w:spacing w:after="0" w:line="240" w:lineRule="auto"/>
        <w:ind w:left="270" w:hanging="270"/>
        <w:rPr>
          <w:sz w:val="20"/>
          <w:szCs w:val="20"/>
        </w:rPr>
      </w:pPr>
      <w:r w:rsidRPr="00DC1ABD">
        <w:rPr>
          <w:sz w:val="20"/>
          <w:szCs w:val="20"/>
        </w:rPr>
        <w:t xml:space="preserve">Deciding on the Accounting Policies </w:t>
      </w:r>
    </w:p>
    <w:p w:rsidR="00DC1ABD" w:rsidRPr="00DC1ABD" w:rsidRDefault="00DC1ABD" w:rsidP="00DC1ABD">
      <w:pPr>
        <w:pStyle w:val="ListParagraph"/>
        <w:numPr>
          <w:ilvl w:val="0"/>
          <w:numId w:val="22"/>
        </w:numPr>
        <w:spacing w:after="0" w:line="240" w:lineRule="auto"/>
        <w:ind w:left="270" w:hanging="270"/>
        <w:rPr>
          <w:sz w:val="20"/>
          <w:szCs w:val="20"/>
        </w:rPr>
      </w:pPr>
      <w:r w:rsidRPr="00DC1ABD">
        <w:rPr>
          <w:sz w:val="20"/>
          <w:szCs w:val="20"/>
        </w:rPr>
        <w:t xml:space="preserve">Recognizing and De-recognizing items   </w:t>
      </w:r>
    </w:p>
    <w:p w:rsidR="00DC1ABD" w:rsidRPr="00DC1ABD" w:rsidRDefault="00DC1ABD" w:rsidP="00DC1ABD">
      <w:pPr>
        <w:pStyle w:val="ListParagraph"/>
        <w:numPr>
          <w:ilvl w:val="0"/>
          <w:numId w:val="22"/>
        </w:numPr>
        <w:spacing w:after="0" w:line="240" w:lineRule="auto"/>
        <w:ind w:left="270" w:hanging="270"/>
        <w:rPr>
          <w:sz w:val="20"/>
          <w:szCs w:val="20"/>
        </w:rPr>
      </w:pPr>
      <w:r w:rsidRPr="00DC1ABD">
        <w:rPr>
          <w:sz w:val="20"/>
          <w:szCs w:val="20"/>
        </w:rPr>
        <w:t>Incorporating the effects of Re-measurement the assets and liabilities</w:t>
      </w:r>
    </w:p>
    <w:p w:rsidR="00DC1ABD" w:rsidRPr="00DC1ABD" w:rsidRDefault="00DC1ABD" w:rsidP="00DC1ABD">
      <w:pPr>
        <w:pStyle w:val="ListParagraph"/>
        <w:numPr>
          <w:ilvl w:val="0"/>
          <w:numId w:val="22"/>
        </w:numPr>
        <w:spacing w:after="0" w:line="240" w:lineRule="auto"/>
        <w:ind w:left="270" w:hanging="270"/>
        <w:jc w:val="both"/>
        <w:rPr>
          <w:sz w:val="20"/>
          <w:szCs w:val="20"/>
        </w:rPr>
      </w:pPr>
      <w:r w:rsidRPr="00DC1ABD">
        <w:rPr>
          <w:sz w:val="20"/>
          <w:szCs w:val="20"/>
        </w:rPr>
        <w:t>Exemptions in Specified Areas of MPERS</w:t>
      </w:r>
    </w:p>
    <w:p w:rsidR="00DC1ABD" w:rsidRPr="00DC1ABD" w:rsidRDefault="00DC1ABD" w:rsidP="00001CE3">
      <w:pPr>
        <w:spacing w:after="0" w:line="240" w:lineRule="auto"/>
        <w:rPr>
          <w:b/>
          <w:bCs/>
          <w:sz w:val="20"/>
          <w:szCs w:val="20"/>
        </w:rPr>
      </w:pPr>
      <w:r w:rsidRPr="00DC1ABD">
        <w:rPr>
          <w:b/>
          <w:bCs/>
          <w:sz w:val="20"/>
          <w:szCs w:val="20"/>
        </w:rPr>
        <w:t>Main Challenges to preparers and auditors in implementing MPERS</w:t>
      </w:r>
    </w:p>
    <w:p w:rsidR="00DC1ABD" w:rsidRPr="00DC1ABD" w:rsidRDefault="00DC1ABD" w:rsidP="00DC1ABD">
      <w:pPr>
        <w:pStyle w:val="ListParagraph"/>
        <w:numPr>
          <w:ilvl w:val="0"/>
          <w:numId w:val="23"/>
        </w:numPr>
        <w:spacing w:after="0" w:line="240" w:lineRule="auto"/>
        <w:ind w:left="270" w:hanging="270"/>
        <w:rPr>
          <w:sz w:val="20"/>
          <w:szCs w:val="20"/>
        </w:rPr>
      </w:pPr>
      <w:r w:rsidRPr="00DC1ABD">
        <w:rPr>
          <w:sz w:val="20"/>
          <w:szCs w:val="20"/>
        </w:rPr>
        <w:t>No detailed guidance and clarification on the requirements of the MPERS</w:t>
      </w:r>
    </w:p>
    <w:p w:rsidR="00DC1ABD" w:rsidRPr="00DC1ABD" w:rsidRDefault="00DC1ABD" w:rsidP="00DC1ABD">
      <w:pPr>
        <w:pStyle w:val="ListParagraph"/>
        <w:numPr>
          <w:ilvl w:val="0"/>
          <w:numId w:val="23"/>
        </w:numPr>
        <w:spacing w:after="0" w:line="240" w:lineRule="auto"/>
        <w:ind w:left="270" w:hanging="270"/>
        <w:rPr>
          <w:sz w:val="20"/>
          <w:szCs w:val="20"/>
        </w:rPr>
      </w:pPr>
      <w:r w:rsidRPr="00DC1ABD">
        <w:rPr>
          <w:sz w:val="20"/>
          <w:szCs w:val="20"/>
        </w:rPr>
        <w:t xml:space="preserve">Financial statements among companies not comparable </w:t>
      </w:r>
    </w:p>
    <w:p w:rsidR="00DC1ABD" w:rsidRPr="00DC1ABD" w:rsidRDefault="00DC1ABD" w:rsidP="00DC1ABD">
      <w:pPr>
        <w:pStyle w:val="ListParagraph"/>
        <w:numPr>
          <w:ilvl w:val="0"/>
          <w:numId w:val="23"/>
        </w:numPr>
        <w:spacing w:after="0" w:line="240" w:lineRule="auto"/>
        <w:ind w:left="270" w:hanging="270"/>
        <w:jc w:val="both"/>
        <w:rPr>
          <w:sz w:val="20"/>
          <w:szCs w:val="20"/>
        </w:rPr>
      </w:pPr>
      <w:r w:rsidRPr="00DC1ABD">
        <w:rPr>
          <w:sz w:val="20"/>
          <w:szCs w:val="20"/>
        </w:rPr>
        <w:t xml:space="preserve">Difficult and costly to apply compared to PERS or MFRS         </w:t>
      </w:r>
    </w:p>
    <w:p w:rsidR="00DC1ABD" w:rsidRDefault="00AF5A4A" w:rsidP="00E51EA5">
      <w:pPr>
        <w:spacing w:after="0" w:line="240" w:lineRule="auto"/>
        <w:jc w:val="both"/>
        <w:rPr>
          <w:sz w:val="20"/>
          <w:szCs w:val="20"/>
        </w:rPr>
      </w:pPr>
      <w:r>
        <w:rPr>
          <w:noProof/>
          <w:sz w:val="20"/>
          <w:szCs w:val="20"/>
        </w:rPr>
        <w:pict>
          <v:roundrect id="_x0000_s1038" style="position:absolute;left:0;text-align:left;margin-left:-7pt;margin-top:9.2pt;width:150.55pt;height:23.4pt;z-index:-251646976" arcsize="10923f">
            <v:shadow on="t" offset="3pt" offset2="2pt"/>
            <v:textbox>
              <w:txbxContent>
                <w:p w:rsidR="00FE2F55" w:rsidRPr="001034F5" w:rsidRDefault="00FE2F55" w:rsidP="00FE2F55">
                  <w:pPr>
                    <w:rPr>
                      <w:sz w:val="20"/>
                    </w:rPr>
                  </w:pPr>
                  <w:r>
                    <w:rPr>
                      <w:sz w:val="20"/>
                    </w:rPr>
                    <w:t>TARGET AUDIENCE</w:t>
                  </w:r>
                </w:p>
              </w:txbxContent>
            </v:textbox>
          </v:roundrect>
        </w:pict>
      </w:r>
    </w:p>
    <w:p w:rsidR="00FE2F55" w:rsidRDefault="00FE2F55" w:rsidP="00FE2F55">
      <w:pPr>
        <w:jc w:val="both"/>
        <w:rPr>
          <w:sz w:val="20"/>
          <w:szCs w:val="20"/>
        </w:rPr>
      </w:pPr>
    </w:p>
    <w:p w:rsidR="00B01C0F" w:rsidRDefault="00DC1ABD" w:rsidP="00EA763B">
      <w:pPr>
        <w:spacing w:after="0" w:line="240" w:lineRule="auto"/>
        <w:jc w:val="both"/>
        <w:rPr>
          <w:sz w:val="20"/>
          <w:szCs w:val="20"/>
        </w:rPr>
      </w:pPr>
      <w:r w:rsidRPr="00DC1ABD">
        <w:rPr>
          <w:sz w:val="20"/>
          <w:szCs w:val="20"/>
        </w:rPr>
        <w:t>Account supervisors, Account executives, Account preparers, Auditors of Private Entities, Accountants, Finance Managers</w:t>
      </w:r>
    </w:p>
    <w:p w:rsidR="00102AC5" w:rsidRDefault="00AF5A4A" w:rsidP="00EA763B">
      <w:pPr>
        <w:spacing w:after="0" w:line="240" w:lineRule="auto"/>
        <w:jc w:val="both"/>
        <w:rPr>
          <w:sz w:val="20"/>
          <w:szCs w:val="20"/>
        </w:rPr>
      </w:pPr>
      <w:r>
        <w:rPr>
          <w:noProof/>
          <w:sz w:val="20"/>
          <w:szCs w:val="20"/>
        </w:rPr>
        <w:pict>
          <v:roundrect id="_x0000_s1053" style="position:absolute;left:0;text-align:left;margin-left:151.85pt;margin-top:10.85pt;width:87.65pt;height:22.2pt;z-index:251681792" arcsize="10923f" fillcolor="black [3200]" strokecolor="#f2f2f2 [3041]" strokeweight="3pt">
            <v:shadow on="t" type="perspective" color="#7f7f7f [1601]" opacity=".5" offset="1pt" offset2="-1pt"/>
            <v:textbox>
              <w:txbxContent>
                <w:p w:rsidR="00B24BBA" w:rsidRPr="00B24BBA" w:rsidRDefault="00B24BBA" w:rsidP="00B24BBA">
                  <w:pPr>
                    <w:jc w:val="center"/>
                    <w:rPr>
                      <w:b/>
                      <w:bCs/>
                    </w:rPr>
                  </w:pPr>
                  <w:r w:rsidRPr="00B24BBA">
                    <w:rPr>
                      <w:b/>
                      <w:bCs/>
                    </w:rPr>
                    <w:t>8 CEP POINTS</w:t>
                  </w:r>
                </w:p>
              </w:txbxContent>
            </v:textbox>
          </v:roundrect>
        </w:pict>
      </w:r>
      <w:r>
        <w:rPr>
          <w:noProof/>
          <w:sz w:val="20"/>
          <w:szCs w:val="20"/>
        </w:rPr>
        <w:pict>
          <v:roundrect id="_x0000_s1039" style="position:absolute;left:0;text-align:left;margin-left:-7pt;margin-top:11.5pt;width:150.55pt;height:23.4pt;z-index:-251645952" arcsize="10923f">
            <v:shadow on="t" offset="3pt" offset2="2pt"/>
            <v:textbox style="mso-next-textbox:#_x0000_s1039">
              <w:txbxContent>
                <w:p w:rsidR="00102AC5" w:rsidRPr="001034F5" w:rsidRDefault="00102AC5" w:rsidP="00102AC5">
                  <w:pPr>
                    <w:rPr>
                      <w:sz w:val="20"/>
                    </w:rPr>
                  </w:pPr>
                  <w:r>
                    <w:rPr>
                      <w:sz w:val="20"/>
                    </w:rPr>
                    <w:t>ADMINISTRATIVE DETAILS</w:t>
                  </w:r>
                </w:p>
              </w:txbxContent>
            </v:textbox>
          </v:roundrect>
        </w:pict>
      </w:r>
    </w:p>
    <w:p w:rsidR="00EA763B" w:rsidRDefault="00EA763B" w:rsidP="00374D0B">
      <w:pPr>
        <w:jc w:val="both"/>
        <w:rPr>
          <w:sz w:val="20"/>
          <w:szCs w:val="20"/>
        </w:rPr>
      </w:pPr>
    </w:p>
    <w:p w:rsidR="00EA763B" w:rsidRDefault="00EA763B" w:rsidP="00EA763B">
      <w:pPr>
        <w:spacing w:after="0" w:line="240" w:lineRule="auto"/>
        <w:jc w:val="both"/>
        <w:rPr>
          <w:sz w:val="20"/>
          <w:szCs w:val="20"/>
        </w:rPr>
      </w:pPr>
    </w:p>
    <w:tbl>
      <w:tblPr>
        <w:tblStyle w:val="LightList-Accent5"/>
        <w:tblW w:w="4786" w:type="dxa"/>
        <w:tblLook w:val="04A0"/>
      </w:tblPr>
      <w:tblGrid>
        <w:gridCol w:w="1512"/>
        <w:gridCol w:w="297"/>
        <w:gridCol w:w="2977"/>
      </w:tblGrid>
      <w:tr w:rsidR="008D444E" w:rsidTr="00F910EE">
        <w:trPr>
          <w:cnfStyle w:val="100000000000"/>
          <w:trHeight w:val="340"/>
        </w:trPr>
        <w:tc>
          <w:tcPr>
            <w:cnfStyle w:val="001000000000"/>
            <w:tcW w:w="1512" w:type="dxa"/>
          </w:tcPr>
          <w:p w:rsidR="008D444E" w:rsidRDefault="008D444E" w:rsidP="00D40625">
            <w:pPr>
              <w:rPr>
                <w:sz w:val="20"/>
                <w:szCs w:val="20"/>
              </w:rPr>
            </w:pPr>
            <w:r>
              <w:rPr>
                <w:sz w:val="20"/>
                <w:szCs w:val="20"/>
              </w:rPr>
              <w:t>DATE</w:t>
            </w:r>
          </w:p>
        </w:tc>
        <w:tc>
          <w:tcPr>
            <w:tcW w:w="297" w:type="dxa"/>
          </w:tcPr>
          <w:p w:rsidR="008D444E" w:rsidRDefault="008D444E" w:rsidP="00D40625">
            <w:pPr>
              <w:cnfStyle w:val="100000000000"/>
              <w:rPr>
                <w:sz w:val="20"/>
                <w:szCs w:val="20"/>
              </w:rPr>
            </w:pPr>
            <w:r>
              <w:rPr>
                <w:sz w:val="20"/>
                <w:szCs w:val="20"/>
              </w:rPr>
              <w:t>:</w:t>
            </w:r>
          </w:p>
        </w:tc>
        <w:tc>
          <w:tcPr>
            <w:tcW w:w="2977" w:type="dxa"/>
          </w:tcPr>
          <w:p w:rsidR="008D444E" w:rsidRDefault="00F910EE" w:rsidP="00DE5B95">
            <w:pPr>
              <w:cnfStyle w:val="100000000000"/>
              <w:rPr>
                <w:sz w:val="20"/>
                <w:szCs w:val="20"/>
              </w:rPr>
            </w:pPr>
            <w:r>
              <w:rPr>
                <w:sz w:val="20"/>
                <w:szCs w:val="20"/>
              </w:rPr>
              <w:t>15</w:t>
            </w:r>
            <w:r w:rsidRPr="00F910EE">
              <w:rPr>
                <w:sz w:val="20"/>
                <w:szCs w:val="20"/>
                <w:vertAlign w:val="superscript"/>
              </w:rPr>
              <w:t>th</w:t>
            </w:r>
            <w:r>
              <w:rPr>
                <w:sz w:val="20"/>
                <w:szCs w:val="20"/>
              </w:rPr>
              <w:t xml:space="preserve"> March 2017</w:t>
            </w:r>
          </w:p>
        </w:tc>
      </w:tr>
      <w:tr w:rsidR="008D444E" w:rsidTr="00F910EE">
        <w:trPr>
          <w:cnfStyle w:val="000000100000"/>
          <w:trHeight w:val="340"/>
        </w:trPr>
        <w:tc>
          <w:tcPr>
            <w:cnfStyle w:val="001000000000"/>
            <w:tcW w:w="1512" w:type="dxa"/>
          </w:tcPr>
          <w:p w:rsidR="008D444E" w:rsidRDefault="008D444E" w:rsidP="00D40625">
            <w:pPr>
              <w:rPr>
                <w:sz w:val="20"/>
                <w:szCs w:val="20"/>
              </w:rPr>
            </w:pPr>
            <w:r>
              <w:rPr>
                <w:sz w:val="20"/>
                <w:szCs w:val="20"/>
              </w:rPr>
              <w:t>DURATION</w:t>
            </w:r>
          </w:p>
        </w:tc>
        <w:tc>
          <w:tcPr>
            <w:tcW w:w="297" w:type="dxa"/>
          </w:tcPr>
          <w:p w:rsidR="008D444E" w:rsidRDefault="008D444E" w:rsidP="00D40625">
            <w:pPr>
              <w:cnfStyle w:val="000000100000"/>
              <w:rPr>
                <w:sz w:val="20"/>
                <w:szCs w:val="20"/>
              </w:rPr>
            </w:pPr>
            <w:r>
              <w:rPr>
                <w:sz w:val="20"/>
                <w:szCs w:val="20"/>
              </w:rPr>
              <w:t>:</w:t>
            </w:r>
          </w:p>
        </w:tc>
        <w:tc>
          <w:tcPr>
            <w:tcW w:w="2977" w:type="dxa"/>
          </w:tcPr>
          <w:p w:rsidR="008D444E" w:rsidRDefault="00580F85" w:rsidP="00D40625">
            <w:pPr>
              <w:cnfStyle w:val="000000100000"/>
              <w:rPr>
                <w:sz w:val="20"/>
                <w:szCs w:val="20"/>
              </w:rPr>
            </w:pPr>
            <w:r>
              <w:rPr>
                <w:sz w:val="20"/>
                <w:szCs w:val="20"/>
              </w:rPr>
              <w:t>01 day</w:t>
            </w:r>
            <w:r w:rsidR="0076664A">
              <w:rPr>
                <w:sz w:val="20"/>
                <w:szCs w:val="20"/>
              </w:rPr>
              <w:t xml:space="preserve"> (0900 - </w:t>
            </w:r>
            <w:r w:rsidR="008D444E">
              <w:rPr>
                <w:sz w:val="20"/>
                <w:szCs w:val="20"/>
              </w:rPr>
              <w:t>1700</w:t>
            </w:r>
            <w:r w:rsidR="0076664A">
              <w:rPr>
                <w:sz w:val="20"/>
                <w:szCs w:val="20"/>
              </w:rPr>
              <w:t xml:space="preserve"> hours</w:t>
            </w:r>
            <w:r w:rsidR="008D444E">
              <w:rPr>
                <w:sz w:val="20"/>
                <w:szCs w:val="20"/>
              </w:rPr>
              <w:t>)</w:t>
            </w:r>
          </w:p>
        </w:tc>
      </w:tr>
      <w:tr w:rsidR="008D444E" w:rsidTr="00F910EE">
        <w:trPr>
          <w:trHeight w:val="340"/>
        </w:trPr>
        <w:tc>
          <w:tcPr>
            <w:cnfStyle w:val="001000000000"/>
            <w:tcW w:w="1512" w:type="dxa"/>
          </w:tcPr>
          <w:p w:rsidR="008D444E" w:rsidRDefault="008D444E" w:rsidP="00D40625">
            <w:pPr>
              <w:rPr>
                <w:sz w:val="20"/>
                <w:szCs w:val="20"/>
              </w:rPr>
            </w:pPr>
            <w:r>
              <w:rPr>
                <w:sz w:val="20"/>
                <w:szCs w:val="20"/>
              </w:rPr>
              <w:t>VENUE</w:t>
            </w:r>
          </w:p>
        </w:tc>
        <w:tc>
          <w:tcPr>
            <w:tcW w:w="297" w:type="dxa"/>
          </w:tcPr>
          <w:p w:rsidR="008D444E" w:rsidRDefault="008D444E" w:rsidP="00D40625">
            <w:pPr>
              <w:cnfStyle w:val="000000000000"/>
              <w:rPr>
                <w:sz w:val="20"/>
                <w:szCs w:val="20"/>
              </w:rPr>
            </w:pPr>
            <w:r>
              <w:rPr>
                <w:sz w:val="20"/>
                <w:szCs w:val="20"/>
              </w:rPr>
              <w:t>:</w:t>
            </w:r>
          </w:p>
        </w:tc>
        <w:tc>
          <w:tcPr>
            <w:tcW w:w="2977" w:type="dxa"/>
          </w:tcPr>
          <w:p w:rsidR="008D444E" w:rsidRDefault="0076664A" w:rsidP="00580F85">
            <w:pPr>
              <w:cnfStyle w:val="000000000000"/>
              <w:rPr>
                <w:sz w:val="20"/>
                <w:szCs w:val="20"/>
              </w:rPr>
            </w:pPr>
            <w:r>
              <w:rPr>
                <w:sz w:val="20"/>
                <w:szCs w:val="20"/>
              </w:rPr>
              <w:t>Petaling Jaya</w:t>
            </w:r>
          </w:p>
        </w:tc>
      </w:tr>
      <w:tr w:rsidR="008D444E" w:rsidTr="00F910EE">
        <w:trPr>
          <w:cnfStyle w:val="000000100000"/>
          <w:trHeight w:val="340"/>
        </w:trPr>
        <w:tc>
          <w:tcPr>
            <w:cnfStyle w:val="001000000000"/>
            <w:tcW w:w="1512" w:type="dxa"/>
          </w:tcPr>
          <w:p w:rsidR="008D444E" w:rsidRDefault="008D444E" w:rsidP="00D40625">
            <w:pPr>
              <w:rPr>
                <w:sz w:val="20"/>
                <w:szCs w:val="20"/>
              </w:rPr>
            </w:pPr>
            <w:r>
              <w:rPr>
                <w:sz w:val="20"/>
                <w:szCs w:val="20"/>
              </w:rPr>
              <w:t>FEE</w:t>
            </w:r>
          </w:p>
        </w:tc>
        <w:tc>
          <w:tcPr>
            <w:tcW w:w="297" w:type="dxa"/>
          </w:tcPr>
          <w:p w:rsidR="008D444E" w:rsidRDefault="008D444E" w:rsidP="00D40625">
            <w:pPr>
              <w:cnfStyle w:val="000000100000"/>
              <w:rPr>
                <w:sz w:val="20"/>
                <w:szCs w:val="20"/>
              </w:rPr>
            </w:pPr>
            <w:r>
              <w:rPr>
                <w:sz w:val="20"/>
                <w:szCs w:val="20"/>
              </w:rPr>
              <w:t>:</w:t>
            </w:r>
          </w:p>
        </w:tc>
        <w:tc>
          <w:tcPr>
            <w:tcW w:w="2977" w:type="dxa"/>
          </w:tcPr>
          <w:p w:rsidR="008D444E" w:rsidRDefault="008D444E" w:rsidP="004D0588">
            <w:pPr>
              <w:cnfStyle w:val="000000100000"/>
              <w:rPr>
                <w:sz w:val="20"/>
                <w:szCs w:val="20"/>
              </w:rPr>
            </w:pPr>
            <w:r w:rsidRPr="008D444E">
              <w:rPr>
                <w:sz w:val="20"/>
                <w:szCs w:val="20"/>
              </w:rPr>
              <w:t>RM</w:t>
            </w:r>
            <w:r w:rsidR="00B30A20">
              <w:rPr>
                <w:sz w:val="20"/>
                <w:szCs w:val="20"/>
              </w:rPr>
              <w:t>1,06</w:t>
            </w:r>
            <w:r w:rsidR="004D0588">
              <w:rPr>
                <w:sz w:val="20"/>
                <w:szCs w:val="20"/>
              </w:rPr>
              <w:t>0</w:t>
            </w:r>
            <w:r w:rsidR="00B30A20">
              <w:rPr>
                <w:sz w:val="20"/>
                <w:szCs w:val="20"/>
              </w:rPr>
              <w:t>.00 per person (Fee is in</w:t>
            </w:r>
            <w:r w:rsidRPr="008D444E">
              <w:rPr>
                <w:sz w:val="20"/>
                <w:szCs w:val="20"/>
              </w:rPr>
              <w:t>clusive of 6% GST)</w:t>
            </w:r>
          </w:p>
        </w:tc>
      </w:tr>
      <w:tr w:rsidR="008D444E" w:rsidTr="00F910EE">
        <w:trPr>
          <w:trHeight w:val="340"/>
        </w:trPr>
        <w:tc>
          <w:tcPr>
            <w:cnfStyle w:val="001000000000"/>
            <w:tcW w:w="1512" w:type="dxa"/>
          </w:tcPr>
          <w:p w:rsidR="008D444E" w:rsidRDefault="008D444E" w:rsidP="00D40625">
            <w:pPr>
              <w:rPr>
                <w:sz w:val="20"/>
                <w:szCs w:val="20"/>
              </w:rPr>
            </w:pPr>
            <w:r>
              <w:rPr>
                <w:sz w:val="20"/>
                <w:szCs w:val="20"/>
              </w:rPr>
              <w:t>PAYMENT</w:t>
            </w:r>
          </w:p>
        </w:tc>
        <w:tc>
          <w:tcPr>
            <w:tcW w:w="297" w:type="dxa"/>
          </w:tcPr>
          <w:p w:rsidR="008D444E" w:rsidRDefault="008D444E" w:rsidP="00D40625">
            <w:pPr>
              <w:cnfStyle w:val="000000000000"/>
              <w:rPr>
                <w:sz w:val="20"/>
                <w:szCs w:val="20"/>
              </w:rPr>
            </w:pPr>
            <w:r>
              <w:rPr>
                <w:sz w:val="20"/>
                <w:szCs w:val="20"/>
              </w:rPr>
              <w:t>:</w:t>
            </w:r>
          </w:p>
        </w:tc>
        <w:tc>
          <w:tcPr>
            <w:tcW w:w="2977" w:type="dxa"/>
          </w:tcPr>
          <w:p w:rsidR="008D444E" w:rsidRPr="008D444E" w:rsidRDefault="008D444E" w:rsidP="00D40625">
            <w:pPr>
              <w:cnfStyle w:val="000000000000"/>
              <w:rPr>
                <w:sz w:val="20"/>
                <w:szCs w:val="20"/>
              </w:rPr>
            </w:pPr>
            <w:r w:rsidRPr="008D444E">
              <w:rPr>
                <w:sz w:val="20"/>
                <w:szCs w:val="20"/>
              </w:rPr>
              <w:t xml:space="preserve">Cheque is to be made payable to </w:t>
            </w:r>
            <w:r w:rsidRPr="0065370D">
              <w:rPr>
                <w:b/>
                <w:bCs/>
                <w:color w:val="FF0000"/>
                <w:sz w:val="20"/>
                <w:szCs w:val="20"/>
              </w:rPr>
              <w:t>BURSATRA SDN. BHD.</w:t>
            </w:r>
          </w:p>
        </w:tc>
      </w:tr>
    </w:tbl>
    <w:p w:rsidR="00027B2A" w:rsidRDefault="00027B2A" w:rsidP="000230E8">
      <w:pPr>
        <w:jc w:val="both"/>
        <w:rPr>
          <w:sz w:val="20"/>
          <w:szCs w:val="20"/>
        </w:rPr>
      </w:pPr>
    </w:p>
    <w:p w:rsidR="00894298" w:rsidRDefault="00894298" w:rsidP="000230E8">
      <w:pPr>
        <w:jc w:val="both"/>
        <w:rPr>
          <w:sz w:val="20"/>
          <w:szCs w:val="20"/>
        </w:rPr>
        <w:sectPr w:rsidR="00894298" w:rsidSect="00455A2A">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ep="1" w:space="720"/>
          <w:titlePg/>
          <w:docGrid w:linePitch="360"/>
        </w:sectPr>
      </w:pPr>
    </w:p>
    <w:p w:rsidR="003F370F" w:rsidRDefault="00AF5A4A" w:rsidP="000230E8">
      <w:pPr>
        <w:jc w:val="both"/>
        <w:rPr>
          <w:sz w:val="20"/>
          <w:szCs w:val="20"/>
        </w:rPr>
      </w:pPr>
      <w:r>
        <w:rPr>
          <w:noProof/>
          <w:sz w:val="20"/>
          <w:szCs w:val="20"/>
        </w:rPr>
        <w:lastRenderedPageBreak/>
        <w:pict>
          <v:roundrect id="_x0000_s1040" style="position:absolute;left:0;text-align:left;margin-left:-6.85pt;margin-top:-.85pt;width:150.55pt;height:23.4pt;z-index:-251644928" arcsize="10923f">
            <v:shadow on="t" offset="3pt" offset2="2pt"/>
            <v:textbox>
              <w:txbxContent>
                <w:p w:rsidR="000230E8" w:rsidRPr="001034F5" w:rsidRDefault="000230E8" w:rsidP="000230E8">
                  <w:pPr>
                    <w:rPr>
                      <w:sz w:val="20"/>
                    </w:rPr>
                  </w:pPr>
                  <w:r>
                    <w:rPr>
                      <w:sz w:val="20"/>
                    </w:rPr>
                    <w:t>SPEAKER PROFILE</w:t>
                  </w:r>
                </w:p>
              </w:txbxContent>
            </v:textbox>
          </v:roundrect>
        </w:pict>
      </w:r>
    </w:p>
    <w:p w:rsidR="003F370F" w:rsidRDefault="003F370F" w:rsidP="000230E8">
      <w:pPr>
        <w:jc w:val="both"/>
        <w:rPr>
          <w:sz w:val="20"/>
          <w:szCs w:val="20"/>
        </w:rPr>
      </w:pPr>
    </w:p>
    <w:p w:rsidR="000230E8" w:rsidRDefault="003F370F" w:rsidP="00F910EE">
      <w:pPr>
        <w:spacing w:after="100" w:afterAutospacing="1" w:line="240" w:lineRule="auto"/>
        <w:contextualSpacing/>
        <w:jc w:val="both"/>
        <w:rPr>
          <w:b/>
          <w:sz w:val="20"/>
          <w:szCs w:val="20"/>
        </w:rPr>
      </w:pPr>
      <w:r>
        <w:rPr>
          <w:b/>
          <w:noProof/>
          <w:sz w:val="20"/>
          <w:szCs w:val="20"/>
        </w:rPr>
        <w:drawing>
          <wp:anchor distT="0" distB="0" distL="114300" distR="114300" simplePos="0" relativeHeight="251684864" behindDoc="0" locked="0" layoutInCell="1" allowOverlap="1">
            <wp:simplePos x="0" y="0"/>
            <wp:positionH relativeFrom="margin">
              <wp:posOffset>-47625</wp:posOffset>
            </wp:positionH>
            <wp:positionV relativeFrom="margin">
              <wp:posOffset>657225</wp:posOffset>
            </wp:positionV>
            <wp:extent cx="1276350" cy="1466850"/>
            <wp:effectExtent l="1905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entTamFookCheong.jp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76350" cy="1466850"/>
                    </a:xfrm>
                    <a:prstGeom prst="rect">
                      <a:avLst/>
                    </a:prstGeom>
                  </pic:spPr>
                </pic:pic>
              </a:graphicData>
            </a:graphic>
          </wp:anchor>
        </w:drawing>
      </w:r>
      <w:r w:rsidR="000230E8" w:rsidRPr="000230E8">
        <w:rPr>
          <w:b/>
          <w:sz w:val="20"/>
          <w:szCs w:val="20"/>
        </w:rPr>
        <w:t>MR. TAM FOOK CHEONG</w:t>
      </w:r>
    </w:p>
    <w:p w:rsidR="003F370F" w:rsidRDefault="003F370F" w:rsidP="00F910EE">
      <w:pPr>
        <w:spacing w:after="100" w:afterAutospacing="1" w:line="240" w:lineRule="auto"/>
        <w:contextualSpacing/>
        <w:jc w:val="both"/>
        <w:rPr>
          <w:b/>
          <w:sz w:val="20"/>
          <w:szCs w:val="20"/>
        </w:rPr>
      </w:pPr>
      <w:r w:rsidRPr="003F370F">
        <w:rPr>
          <w:b/>
          <w:sz w:val="20"/>
          <w:szCs w:val="20"/>
        </w:rPr>
        <w:t>FCCA, ACMA, CGMA, MIA</w:t>
      </w:r>
    </w:p>
    <w:p w:rsidR="00F910EE" w:rsidRPr="000230E8" w:rsidRDefault="00F910EE" w:rsidP="00F910EE">
      <w:pPr>
        <w:spacing w:after="100" w:afterAutospacing="1" w:line="240" w:lineRule="auto"/>
        <w:contextualSpacing/>
        <w:jc w:val="both"/>
        <w:rPr>
          <w:b/>
          <w:sz w:val="20"/>
          <w:szCs w:val="20"/>
        </w:rPr>
      </w:pPr>
    </w:p>
    <w:p w:rsidR="003F370F" w:rsidRPr="003F370F" w:rsidRDefault="003F370F" w:rsidP="003F370F">
      <w:pPr>
        <w:jc w:val="both"/>
        <w:rPr>
          <w:sz w:val="20"/>
          <w:szCs w:val="20"/>
        </w:rPr>
      </w:pPr>
      <w:r w:rsidRPr="003F370F">
        <w:rPr>
          <w:sz w:val="20"/>
          <w:szCs w:val="20"/>
        </w:rPr>
        <w:t>Kenneth Tam is a trainer cum consultant. He has over 30 years of corporate experience in the field of financial management, financial accounting, tax, business planning and budgeting. He had wide, extensive and hand-on  experience in various industries which include oil and gas</w:t>
      </w:r>
      <w:r w:rsidR="005979D8">
        <w:rPr>
          <w:sz w:val="20"/>
          <w:szCs w:val="20"/>
        </w:rPr>
        <w:t xml:space="preserve"> (</w:t>
      </w:r>
      <w:r w:rsidRPr="003F370F">
        <w:rPr>
          <w:sz w:val="20"/>
          <w:szCs w:val="20"/>
        </w:rPr>
        <w:t>upstream and downstream), manufacturing, trading, project management and education.   From 1980 to 2008 he held various managerial positions in a Global oil and gas</w:t>
      </w:r>
      <w:r w:rsidR="005979D8">
        <w:rPr>
          <w:sz w:val="20"/>
          <w:szCs w:val="20"/>
        </w:rPr>
        <w:t xml:space="preserve"> </w:t>
      </w:r>
      <w:r w:rsidRPr="003F370F">
        <w:rPr>
          <w:sz w:val="20"/>
          <w:szCs w:val="20"/>
        </w:rPr>
        <w:t xml:space="preserve">group of companies, one of the Fortune 500 companies. </w:t>
      </w:r>
    </w:p>
    <w:p w:rsidR="003F370F" w:rsidRPr="003F370F" w:rsidRDefault="003F370F" w:rsidP="003F370F">
      <w:pPr>
        <w:jc w:val="both"/>
        <w:rPr>
          <w:sz w:val="20"/>
          <w:szCs w:val="20"/>
        </w:rPr>
      </w:pPr>
      <w:r w:rsidRPr="003F370F">
        <w:rPr>
          <w:sz w:val="20"/>
          <w:szCs w:val="20"/>
        </w:rPr>
        <w:t>Since 2009 he became a full-time learning consultant, he has contributed to the success of many training programmes through result-oriented and energetic training methods.  Kenneth’s training style is refreshing and energetic, relaxing his audience. By providing a practical approach in his presentation, alongside easy-to-use templates, he inspires his audience to take action and produce results. He provides ways on how to transform and enhance existing skills, mental attitudes and mindsets at all levels, to improve individual and corporate performance. This comes as no surprise as Kenneth has been lecturing extensively in various university colleges many years ago in strategic financial management, performance measurement and financial reporting for professional examination boards namely ACCA, MICPA CIMA, and ICSA &amp; ICAA. Currently Kenneth is also a local counsellor in the Finance Module of two MBA learning programmes. As a corporate trainer cum consultant, he has experience in designing, developing and delivering various training programme for both in-house as well as public programmes.</w:t>
      </w:r>
    </w:p>
    <w:p w:rsidR="003F370F" w:rsidRPr="003F370F" w:rsidRDefault="003F370F" w:rsidP="00001CE3">
      <w:pPr>
        <w:jc w:val="both"/>
        <w:rPr>
          <w:sz w:val="20"/>
          <w:szCs w:val="20"/>
        </w:rPr>
      </w:pPr>
      <w:r w:rsidRPr="003F370F">
        <w:rPr>
          <w:sz w:val="20"/>
          <w:szCs w:val="20"/>
        </w:rPr>
        <w:t xml:space="preserve">Kenneth Tam is a Fellow member of the Association of Certified Chartered Accountants UK (FCCA), Associate member of the Chartered Institute of Management Accountants UK (ACMA), member of the Charted Global Management Accountant (CGMA), a member of the Malaysian Institute of Accountants (MIA). He also obtained a </w:t>
      </w:r>
      <w:r w:rsidR="00001CE3">
        <w:rPr>
          <w:sz w:val="20"/>
          <w:szCs w:val="20"/>
        </w:rPr>
        <w:t>C</w:t>
      </w:r>
      <w:r w:rsidRPr="003F370F">
        <w:rPr>
          <w:sz w:val="20"/>
          <w:szCs w:val="20"/>
        </w:rPr>
        <w:t xml:space="preserve">ertificate IV in assessment and workplace training from Australia and approved certified trainer from PSMB.     </w:t>
      </w:r>
    </w:p>
    <w:p w:rsidR="008D444E" w:rsidRDefault="003F370F" w:rsidP="003F370F">
      <w:pPr>
        <w:jc w:val="both"/>
        <w:rPr>
          <w:sz w:val="20"/>
          <w:szCs w:val="20"/>
        </w:rPr>
      </w:pPr>
      <w:r w:rsidRPr="003F370F">
        <w:rPr>
          <w:sz w:val="20"/>
          <w:szCs w:val="20"/>
        </w:rPr>
        <w:t>In additional, Kenneth Tam is currently also an Independent Non-Executive Director of a company listed on the main market of Bursa Malaysia.</w:t>
      </w:r>
    </w:p>
    <w:p w:rsidR="008D444E" w:rsidRDefault="008D444E"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3F370F" w:rsidRDefault="003F370F" w:rsidP="00374D0B">
      <w:pPr>
        <w:jc w:val="both"/>
        <w:rPr>
          <w:sz w:val="20"/>
          <w:szCs w:val="20"/>
        </w:rPr>
      </w:pPr>
      <w:bookmarkStart w:id="0" w:name="_GoBack"/>
      <w:bookmarkEnd w:id="0"/>
    </w:p>
    <w:p w:rsidR="001C3709" w:rsidRDefault="001C3709" w:rsidP="00374D0B">
      <w:pPr>
        <w:jc w:val="both"/>
        <w:rPr>
          <w:sz w:val="20"/>
          <w:szCs w:val="20"/>
        </w:rPr>
      </w:pPr>
    </w:p>
    <w:p w:rsidR="00940D94" w:rsidRDefault="00940D94" w:rsidP="00374D0B">
      <w:pPr>
        <w:jc w:val="both"/>
        <w:rPr>
          <w:sz w:val="20"/>
          <w:szCs w:val="20"/>
        </w:rPr>
      </w:pPr>
    </w:p>
    <w:p w:rsidR="001C3709" w:rsidRDefault="001C3709" w:rsidP="00374D0B">
      <w:pPr>
        <w:jc w:val="both"/>
        <w:rPr>
          <w:sz w:val="20"/>
          <w:szCs w:val="20"/>
        </w:rPr>
      </w:pPr>
    </w:p>
    <w:p w:rsidR="0076664A" w:rsidRDefault="0076664A" w:rsidP="00333784">
      <w:pPr>
        <w:jc w:val="center"/>
        <w:rPr>
          <w:rFonts w:asciiTheme="majorHAnsi" w:hAnsiTheme="majorHAnsi"/>
          <w:sz w:val="28"/>
          <w:szCs w:val="28"/>
          <w:u w:val="single"/>
        </w:rPr>
      </w:pPr>
    </w:p>
    <w:p w:rsidR="00333784" w:rsidRPr="00333784" w:rsidRDefault="0076664A" w:rsidP="00333784">
      <w:pPr>
        <w:jc w:val="center"/>
        <w:rPr>
          <w:rFonts w:asciiTheme="majorHAnsi" w:hAnsiTheme="majorHAnsi"/>
          <w:sz w:val="28"/>
          <w:szCs w:val="28"/>
          <w:u w:val="single"/>
        </w:rPr>
      </w:pPr>
      <w:r>
        <w:rPr>
          <w:noProof/>
          <w:color w:val="548DD4" w:themeColor="text2" w:themeTint="99"/>
          <w:sz w:val="24"/>
          <w:szCs w:val="24"/>
        </w:rPr>
        <w:lastRenderedPageBreak/>
        <w:pict>
          <v:group id="_x0000_s1058" style="position:absolute;left:0;text-align:left;margin-left:-12pt;margin-top:24.05pt;width:481.25pt;height:46.8pt;z-index:-251630592" coordorigin="1200,2206" coordsize="9625,936">
            <v:rect id="_x0000_s1059" style="position:absolute;left:1200;top:2206;width:212;height:936" fillcolor="#f79646 [3209]" stroked="f">
              <v:shadow on="t"/>
            </v:rect>
            <v:rect id="_x0000_s1060" style="position:absolute;left:1419;top:2206;width:9406;height:936" fillcolor="#dbe5f1 [660]" stroked="f">
              <v:shadow on="t"/>
            </v:rect>
          </v:group>
        </w:pict>
      </w:r>
      <w:r w:rsidR="001C3709" w:rsidRPr="004E6547">
        <w:rPr>
          <w:rFonts w:asciiTheme="majorHAnsi" w:hAnsiTheme="majorHAnsi"/>
          <w:sz w:val="28"/>
          <w:szCs w:val="28"/>
          <w:u w:val="single"/>
        </w:rPr>
        <w:t>REGISTRATION FORM</w:t>
      </w:r>
    </w:p>
    <w:sdt>
      <w:sdtPr>
        <w:rPr>
          <w:sz w:val="32"/>
          <w:szCs w:val="32"/>
        </w:rPr>
        <w:alias w:val="Title"/>
        <w:id w:val="1749313"/>
        <w:dataBinding w:prefixMappings="xmlns:ns0='http://purl.org/dc/elements/1.1/' xmlns:ns1='http://schemas.openxmlformats.org/package/2006/metadata/core-properties' " w:xpath="/ns1:coreProperties[1]/ns0:title[1]" w:storeItemID="{6C3C8BC8-F283-45AE-878A-BAB7291924A1}"/>
        <w:text/>
      </w:sdtPr>
      <w:sdtContent>
        <w:p w:rsidR="00940D94" w:rsidRPr="00BD42A5" w:rsidRDefault="00366312" w:rsidP="00940D94">
          <w:pPr>
            <w:spacing w:after="0" w:line="240" w:lineRule="auto"/>
            <w:jc w:val="center"/>
            <w:rPr>
              <w:sz w:val="32"/>
              <w:szCs w:val="32"/>
            </w:rPr>
          </w:pPr>
          <w:r>
            <w:rPr>
              <w:sz w:val="32"/>
              <w:szCs w:val="32"/>
              <w:lang w:val="en-MY"/>
            </w:rPr>
            <w:t>MALAYSIAN PRIVATE ENTITIES REPORTING STANDARDS (MPERS) : an overview and practical approach</w:t>
          </w:r>
        </w:p>
      </w:sdtContent>
    </w:sdt>
    <w:p w:rsidR="0076664A" w:rsidRDefault="0076664A" w:rsidP="001C3709">
      <w:pPr>
        <w:spacing w:after="0" w:line="240" w:lineRule="auto"/>
        <w:jc w:val="center"/>
        <w:rPr>
          <w:sz w:val="24"/>
          <w:szCs w:val="24"/>
        </w:rPr>
      </w:pPr>
    </w:p>
    <w:p w:rsidR="001C3709" w:rsidRDefault="0076664A" w:rsidP="001C3709">
      <w:pPr>
        <w:spacing w:after="0" w:line="240" w:lineRule="auto"/>
        <w:jc w:val="center"/>
        <w:rPr>
          <w:sz w:val="24"/>
          <w:szCs w:val="24"/>
        </w:rPr>
      </w:pPr>
      <w:r>
        <w:rPr>
          <w:sz w:val="24"/>
          <w:szCs w:val="24"/>
        </w:rPr>
        <w:t xml:space="preserve">(0900 - </w:t>
      </w:r>
      <w:r w:rsidR="00BD42A5">
        <w:rPr>
          <w:sz w:val="24"/>
          <w:szCs w:val="24"/>
        </w:rPr>
        <w:t>1700</w:t>
      </w:r>
      <w:r>
        <w:rPr>
          <w:sz w:val="24"/>
          <w:szCs w:val="24"/>
        </w:rPr>
        <w:t xml:space="preserve"> hours</w:t>
      </w:r>
      <w:r w:rsidR="00BD42A5">
        <w:rPr>
          <w:sz w:val="24"/>
          <w:szCs w:val="24"/>
        </w:rPr>
        <w:t>)</w:t>
      </w:r>
    </w:p>
    <w:p w:rsidR="00BD42A5" w:rsidRDefault="00BD42A5" w:rsidP="001C3709">
      <w:pPr>
        <w:spacing w:after="0" w:line="240" w:lineRule="auto"/>
        <w:jc w:val="center"/>
        <w:rPr>
          <w:sz w:val="24"/>
          <w:szCs w:val="24"/>
        </w:rPr>
      </w:pPr>
    </w:p>
    <w:p w:rsidR="001C3709" w:rsidRPr="004E6547" w:rsidRDefault="00AF5A4A" w:rsidP="001C3709">
      <w:pPr>
        <w:rPr>
          <w:sz w:val="24"/>
          <w:szCs w:val="24"/>
        </w:rPr>
      </w:pPr>
      <w:r w:rsidRPr="00AF5A4A">
        <w:rPr>
          <w:noProof/>
          <w:color w:val="548DD4" w:themeColor="text2" w:themeTint="99"/>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1" type="#_x0000_t55" style="position:absolute;margin-left:-17.8pt;margin-top:-.45pt;width:11.05pt;height:16.85pt;z-index:251673600" strokecolor="#548dd4"/>
        </w:pict>
      </w:r>
      <w:r w:rsidR="0007636E">
        <w:rPr>
          <w:sz w:val="24"/>
          <w:szCs w:val="24"/>
        </w:rPr>
        <w:t>D</w:t>
      </w:r>
      <w:r w:rsidR="001C3709">
        <w:rPr>
          <w:sz w:val="24"/>
          <w:szCs w:val="24"/>
        </w:rPr>
        <w:t>ate:</w:t>
      </w:r>
    </w:p>
    <w:tbl>
      <w:tblPr>
        <w:tblW w:w="0" w:type="auto"/>
        <w:tblInd w:w="340" w:type="dxa"/>
        <w:tblLayout w:type="fixed"/>
        <w:tblLook w:val="04A0"/>
      </w:tblPr>
      <w:tblGrid>
        <w:gridCol w:w="250"/>
        <w:gridCol w:w="2353"/>
        <w:gridCol w:w="284"/>
        <w:gridCol w:w="2977"/>
        <w:gridCol w:w="283"/>
        <w:gridCol w:w="284"/>
        <w:gridCol w:w="283"/>
        <w:gridCol w:w="623"/>
      </w:tblGrid>
      <w:tr w:rsidR="001C3709" w:rsidRPr="00E76169" w:rsidTr="001617B2">
        <w:tc>
          <w:tcPr>
            <w:tcW w:w="250" w:type="dxa"/>
          </w:tcPr>
          <w:p w:rsidR="001C3709" w:rsidRPr="00E76169" w:rsidRDefault="00AF5A4A" w:rsidP="007349B9">
            <w:pPr>
              <w:spacing w:after="0" w:line="240" w:lineRule="auto"/>
              <w:rPr>
                <w:sz w:val="24"/>
                <w:szCs w:val="24"/>
              </w:rPr>
            </w:pPr>
            <w:r>
              <w:rPr>
                <w:noProof/>
                <w:sz w:val="24"/>
                <w:szCs w:val="24"/>
              </w:rPr>
              <w:pict>
                <v:rect id="_x0000_s1044" style="position:absolute;margin-left:-5.25pt;margin-top:0;width:10.65pt;height:10.05pt;z-index:251676672;mso-position-vertical:top;mso-position-vertical-relative:margin">
                  <v:shadow on="t" offset=",3pt" offset2=",2pt"/>
                  <w10:wrap anchory="margin"/>
                </v:rect>
              </w:pict>
            </w:r>
          </w:p>
        </w:tc>
        <w:tc>
          <w:tcPr>
            <w:tcW w:w="2353" w:type="dxa"/>
          </w:tcPr>
          <w:p w:rsidR="001C3709" w:rsidRPr="00E76169" w:rsidRDefault="00492BD7" w:rsidP="00492BD7">
            <w:pPr>
              <w:spacing w:after="0" w:line="240" w:lineRule="auto"/>
              <w:rPr>
                <w:sz w:val="24"/>
                <w:szCs w:val="24"/>
              </w:rPr>
            </w:pPr>
            <w:r>
              <w:rPr>
                <w:sz w:val="24"/>
                <w:szCs w:val="24"/>
              </w:rPr>
              <w:t>15</w:t>
            </w:r>
            <w:r w:rsidRPr="00492BD7">
              <w:rPr>
                <w:sz w:val="24"/>
                <w:szCs w:val="24"/>
                <w:vertAlign w:val="superscript"/>
              </w:rPr>
              <w:t>th</w:t>
            </w:r>
            <w:r>
              <w:rPr>
                <w:sz w:val="24"/>
                <w:szCs w:val="24"/>
              </w:rPr>
              <w:t xml:space="preserve"> March 2017</w:t>
            </w:r>
          </w:p>
        </w:tc>
        <w:tc>
          <w:tcPr>
            <w:tcW w:w="284" w:type="dxa"/>
          </w:tcPr>
          <w:p w:rsidR="001C3709" w:rsidRPr="00E76169" w:rsidRDefault="001C3709" w:rsidP="007349B9">
            <w:pPr>
              <w:spacing w:after="0" w:line="240" w:lineRule="auto"/>
              <w:rPr>
                <w:sz w:val="24"/>
                <w:szCs w:val="24"/>
              </w:rPr>
            </w:pPr>
          </w:p>
        </w:tc>
        <w:tc>
          <w:tcPr>
            <w:tcW w:w="2977" w:type="dxa"/>
          </w:tcPr>
          <w:p w:rsidR="001C3709" w:rsidRPr="00E76169" w:rsidRDefault="001C3709" w:rsidP="007349B9">
            <w:pPr>
              <w:spacing w:after="0" w:line="240" w:lineRule="auto"/>
              <w:rPr>
                <w:sz w:val="24"/>
                <w:szCs w:val="24"/>
              </w:rPr>
            </w:pPr>
          </w:p>
        </w:tc>
        <w:tc>
          <w:tcPr>
            <w:tcW w:w="283" w:type="dxa"/>
          </w:tcPr>
          <w:p w:rsidR="001C3709" w:rsidRPr="00E76169" w:rsidRDefault="001C3709" w:rsidP="007349B9">
            <w:pPr>
              <w:spacing w:after="0" w:line="240" w:lineRule="auto"/>
              <w:rPr>
                <w:sz w:val="24"/>
                <w:szCs w:val="24"/>
              </w:rPr>
            </w:pPr>
          </w:p>
        </w:tc>
        <w:tc>
          <w:tcPr>
            <w:tcW w:w="284" w:type="dxa"/>
          </w:tcPr>
          <w:p w:rsidR="001C3709" w:rsidRPr="00E76169" w:rsidRDefault="001C3709" w:rsidP="007349B9">
            <w:pPr>
              <w:spacing w:after="0" w:line="240" w:lineRule="auto"/>
              <w:rPr>
                <w:sz w:val="24"/>
                <w:szCs w:val="24"/>
              </w:rPr>
            </w:pPr>
          </w:p>
        </w:tc>
        <w:tc>
          <w:tcPr>
            <w:tcW w:w="283" w:type="dxa"/>
          </w:tcPr>
          <w:p w:rsidR="001C3709" w:rsidRDefault="001C3709" w:rsidP="007349B9">
            <w:pPr>
              <w:spacing w:after="0" w:line="240" w:lineRule="auto"/>
              <w:rPr>
                <w:sz w:val="24"/>
                <w:szCs w:val="24"/>
              </w:rPr>
            </w:pPr>
          </w:p>
        </w:tc>
        <w:tc>
          <w:tcPr>
            <w:tcW w:w="623" w:type="dxa"/>
          </w:tcPr>
          <w:p w:rsidR="001C3709" w:rsidRDefault="001C3709" w:rsidP="007349B9">
            <w:pPr>
              <w:spacing w:after="0" w:line="240" w:lineRule="auto"/>
              <w:rPr>
                <w:sz w:val="24"/>
                <w:szCs w:val="24"/>
              </w:rPr>
            </w:pPr>
          </w:p>
        </w:tc>
      </w:tr>
    </w:tbl>
    <w:p w:rsidR="001C3709" w:rsidRDefault="001C3709" w:rsidP="001C3709">
      <w:pPr>
        <w:pStyle w:val="Heading2"/>
        <w:jc w:val="left"/>
        <w:rPr>
          <w:sz w:val="16"/>
          <w:szCs w:val="16"/>
        </w:rPr>
      </w:pPr>
    </w:p>
    <w:p w:rsidR="001C3709" w:rsidRPr="004E6547" w:rsidRDefault="00AF5A4A" w:rsidP="001C3709">
      <w:pPr>
        <w:rPr>
          <w:sz w:val="24"/>
          <w:szCs w:val="24"/>
        </w:rPr>
      </w:pPr>
      <w:r w:rsidRPr="00AF5A4A">
        <w:rPr>
          <w:noProof/>
          <w:color w:val="548DD4" w:themeColor="text2" w:themeTint="99"/>
          <w:sz w:val="24"/>
          <w:szCs w:val="24"/>
        </w:rPr>
        <w:pict>
          <v:shape id="_x0000_s1042" type="#_x0000_t55" style="position:absolute;margin-left:-17.8pt;margin-top:.3pt;width:11.05pt;height:16.85pt;z-index:251674624" strokecolor="#548dd4"/>
        </w:pict>
      </w:r>
      <w:r w:rsidR="001C3709" w:rsidRPr="004E6547">
        <w:rPr>
          <w:sz w:val="24"/>
          <w:szCs w:val="24"/>
        </w:rPr>
        <w:t>Details:</w:t>
      </w:r>
    </w:p>
    <w:tbl>
      <w:tblPr>
        <w:tblW w:w="0" w:type="auto"/>
        <w:tblInd w:w="340" w:type="dxa"/>
        <w:tblLayout w:type="fixed"/>
        <w:tblLook w:val="04A0"/>
      </w:tblPr>
      <w:tblGrid>
        <w:gridCol w:w="2298"/>
        <w:gridCol w:w="284"/>
        <w:gridCol w:w="6280"/>
      </w:tblGrid>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Participant</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NRIC / Passport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Address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p>
        </w:tc>
        <w:tc>
          <w:tcPr>
            <w:tcW w:w="284" w:type="dxa"/>
            <w:vAlign w:val="center"/>
          </w:tcPr>
          <w:p w:rsidR="001C3709" w:rsidRPr="00E76169" w:rsidRDefault="001C3709" w:rsidP="007349B9">
            <w:pPr>
              <w:spacing w:after="0" w:line="240" w:lineRule="auto"/>
              <w:rPr>
                <w:sz w:val="24"/>
                <w:szCs w:val="24"/>
              </w:rPr>
            </w:pP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Contact Person &amp; 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Tel.#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Fax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E-mail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bl>
    <w:p w:rsidR="00191908" w:rsidRDefault="00191908" w:rsidP="001C3709">
      <w:pPr>
        <w:spacing w:after="0" w:line="240" w:lineRule="auto"/>
        <w:jc w:val="center"/>
        <w:rPr>
          <w:noProof/>
          <w:sz w:val="24"/>
          <w:szCs w:val="24"/>
        </w:rPr>
      </w:pPr>
    </w:p>
    <w:p w:rsidR="0010616B" w:rsidRDefault="00AF5A4A" w:rsidP="001C3709">
      <w:pPr>
        <w:spacing w:after="0" w:line="240" w:lineRule="auto"/>
        <w:jc w:val="center"/>
        <w:rPr>
          <w:noProof/>
          <w:sz w:val="24"/>
          <w:szCs w:val="24"/>
        </w:rPr>
      </w:pPr>
      <w:r>
        <w:rPr>
          <w:noProof/>
          <w:sz w:val="24"/>
          <w:szCs w:val="24"/>
        </w:rPr>
        <w:pict>
          <v:shape id="_x0000_s1043" type="#_x0000_t55" style="position:absolute;left:0;text-align:left;margin-left:-17.8pt;margin-top:.2pt;width:11.05pt;height:16.85pt;z-index:251675648" strokecolor="#548dd4"/>
        </w:pict>
      </w:r>
      <w:r w:rsidR="001C3709" w:rsidRPr="00E94F5F">
        <w:rPr>
          <w:noProof/>
          <w:sz w:val="24"/>
          <w:szCs w:val="24"/>
        </w:rPr>
        <w:t>TO REGISTER,</w:t>
      </w:r>
    </w:p>
    <w:p w:rsidR="001C3709" w:rsidRDefault="001C3709" w:rsidP="001C3709">
      <w:pPr>
        <w:spacing w:after="0" w:line="240" w:lineRule="auto"/>
        <w:jc w:val="center"/>
        <w:rPr>
          <w:noProof/>
          <w:sz w:val="24"/>
          <w:szCs w:val="24"/>
        </w:rPr>
      </w:pPr>
      <w:r w:rsidRPr="00E94F5F">
        <w:rPr>
          <w:noProof/>
          <w:sz w:val="24"/>
          <w:szCs w:val="24"/>
        </w:rPr>
        <w:t>PLEASE CALL 03-7958 8001 / 03-7958 8002 OR</w:t>
      </w:r>
    </w:p>
    <w:p w:rsidR="001C3709" w:rsidRDefault="001C3709" w:rsidP="001C3709">
      <w:pPr>
        <w:spacing w:after="0" w:line="240" w:lineRule="auto"/>
        <w:jc w:val="center"/>
        <w:rPr>
          <w:noProof/>
          <w:sz w:val="24"/>
          <w:szCs w:val="24"/>
        </w:rPr>
      </w:pPr>
      <w:r w:rsidRPr="00E94F5F">
        <w:rPr>
          <w:noProof/>
          <w:sz w:val="24"/>
          <w:szCs w:val="24"/>
        </w:rPr>
        <w:t>FAX REGISTRATION FORM TO:</w:t>
      </w:r>
      <w:r w:rsidR="00D72256">
        <w:rPr>
          <w:noProof/>
          <w:sz w:val="24"/>
          <w:szCs w:val="24"/>
        </w:rPr>
        <w:t>03-7954 8001</w:t>
      </w:r>
      <w:r w:rsidRPr="00E94F5F">
        <w:rPr>
          <w:noProof/>
          <w:sz w:val="24"/>
          <w:szCs w:val="24"/>
        </w:rPr>
        <w:t xml:space="preserve"> OR</w:t>
      </w:r>
    </w:p>
    <w:p w:rsidR="001C3709" w:rsidRPr="00C97D66" w:rsidRDefault="001C3709" w:rsidP="001C3709">
      <w:pPr>
        <w:spacing w:after="0" w:line="240" w:lineRule="auto"/>
        <w:jc w:val="center"/>
        <w:rPr>
          <w:noProof/>
          <w:color w:val="548DD4" w:themeColor="text2" w:themeTint="99"/>
          <w:sz w:val="24"/>
          <w:szCs w:val="24"/>
        </w:rPr>
      </w:pPr>
      <w:r w:rsidRPr="00E94F5F">
        <w:rPr>
          <w:noProof/>
          <w:sz w:val="24"/>
          <w:szCs w:val="24"/>
        </w:rPr>
        <w:t>E-MAIL TO: sophiah@bursatra.com.my</w:t>
      </w:r>
    </w:p>
    <w:p w:rsidR="002615A6" w:rsidRDefault="00AF5A4A" w:rsidP="00374D0B">
      <w:pPr>
        <w:jc w:val="both"/>
        <w:rPr>
          <w:sz w:val="20"/>
          <w:szCs w:val="20"/>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6" type="#_x0000_t185" style="position:absolute;left:0;text-align:left;margin-left:18.8pt;margin-top:8.75pt;width:435.1pt;height:49.3pt;z-index:-251632640" filled="t" fillcolor="#ffb9b9">
            <v:fill opacity="29491f"/>
            <v:textbox>
              <w:txbxContent>
                <w:p w:rsidR="00DC1ABD" w:rsidRPr="00EA763B" w:rsidRDefault="00DC1ABD" w:rsidP="00DC1ABD">
                  <w:pPr>
                    <w:spacing w:after="0" w:line="240" w:lineRule="auto"/>
                    <w:jc w:val="both"/>
                    <w:rPr>
                      <w:i/>
                      <w:sz w:val="20"/>
                      <w:szCs w:val="20"/>
                    </w:rPr>
                  </w:pPr>
                  <w:r w:rsidRPr="00EA763B">
                    <w:rPr>
                      <w:i/>
                      <w:sz w:val="20"/>
                      <w:szCs w:val="20"/>
                    </w:rPr>
                    <w:t>Postponement / Cancellation within seven (07) working days prior to the event are subject to a cancellation / postponement fee of 20%. Full amount of the registration fee(s) is chargeable for non-attendance of the participant(s).</w:t>
                  </w:r>
                </w:p>
                <w:p w:rsidR="00DC1ABD" w:rsidRPr="00EA763B" w:rsidRDefault="00DC1ABD" w:rsidP="00DC1ABD">
                  <w:pPr>
                    <w:rPr>
                      <w:sz w:val="20"/>
                      <w:szCs w:val="20"/>
                    </w:rPr>
                  </w:pPr>
                </w:p>
              </w:txbxContent>
            </v:textbox>
          </v:shape>
        </w:pict>
      </w:r>
    </w:p>
    <w:p w:rsidR="00DE5B95" w:rsidRDefault="00DE5B95" w:rsidP="00374D0B">
      <w:pPr>
        <w:jc w:val="both"/>
        <w:rPr>
          <w:sz w:val="20"/>
          <w:szCs w:val="20"/>
        </w:rPr>
      </w:pPr>
    </w:p>
    <w:p w:rsidR="00BD42A5" w:rsidRDefault="00BD42A5" w:rsidP="00DE5B95">
      <w:pPr>
        <w:jc w:val="center"/>
        <w:rPr>
          <w:sz w:val="20"/>
          <w:szCs w:val="20"/>
        </w:rPr>
      </w:pPr>
    </w:p>
    <w:p w:rsidR="00DC1ABD" w:rsidRDefault="00DE5B95" w:rsidP="00BD42A5">
      <w:pPr>
        <w:jc w:val="center"/>
        <w:rPr>
          <w:sz w:val="20"/>
          <w:szCs w:val="20"/>
        </w:rPr>
      </w:pPr>
      <w:r w:rsidRPr="00DE5B95">
        <w:rPr>
          <w:sz w:val="20"/>
          <w:szCs w:val="20"/>
        </w:rPr>
        <w:t>BURSATRA SDN BHD IS A REGISTERED TRAINING PROVIDER WITH PSMB (Reg. No: 520353-U)</w:t>
      </w:r>
    </w:p>
    <w:p w:rsidR="00DC1ABD" w:rsidRPr="00374D0B" w:rsidRDefault="00DC1ABD" w:rsidP="00DE5B95">
      <w:pPr>
        <w:jc w:val="center"/>
        <w:rPr>
          <w:sz w:val="20"/>
          <w:szCs w:val="20"/>
        </w:rPr>
      </w:pPr>
    </w:p>
    <w:sectPr w:rsidR="00DC1ABD" w:rsidRPr="00374D0B" w:rsidSect="0076664A">
      <w:type w:val="continuous"/>
      <w:pgSz w:w="12240" w:h="15840"/>
      <w:pgMar w:top="1152" w:right="1440" w:bottom="1152" w:left="1440" w:header="720" w:footer="720" w:gutter="0"/>
      <w:pgBorders w:offsetFrom="page">
        <w:top w:val="single" w:sz="4" w:space="24" w:color="auto"/>
        <w:left w:val="single" w:sz="4" w:space="24" w:color="auto"/>
        <w:bottom w:val="single" w:sz="4" w:space="24" w:color="auto"/>
        <w:right w:val="single" w:sz="4" w:space="24" w:color="auto"/>
      </w:pgBorders>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287" w:rsidRDefault="00315287" w:rsidP="00C4570F">
      <w:pPr>
        <w:spacing w:after="0" w:line="240" w:lineRule="auto"/>
      </w:pPr>
      <w:r>
        <w:separator/>
      </w:r>
    </w:p>
  </w:endnote>
  <w:endnote w:type="continuationSeparator" w:id="1">
    <w:p w:rsidR="00315287" w:rsidRDefault="00315287" w:rsidP="00C45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2A" w:rsidRDefault="00455A2A">
    <w:pPr>
      <w:pStyle w:val="Footer"/>
      <w:pBdr>
        <w:top w:val="thinThickSmallGap" w:sz="24" w:space="1" w:color="622423" w:themeColor="accent2" w:themeShade="7F"/>
      </w:pBdr>
      <w:rPr>
        <w:rFonts w:asciiTheme="majorHAnsi" w:hAnsiTheme="majorHAnsi"/>
      </w:rPr>
    </w:pPr>
    <w:r>
      <w:rPr>
        <w:rFonts w:asciiTheme="majorHAnsi" w:hAnsiTheme="majorHAnsi"/>
      </w:rPr>
      <w:t>Financial Management and Reporting</w:t>
    </w:r>
    <w:r>
      <w:rPr>
        <w:rFonts w:asciiTheme="majorHAnsi" w:hAnsiTheme="majorHAnsi"/>
      </w:rPr>
      <w:ptab w:relativeTo="margin" w:alignment="right" w:leader="none"/>
    </w:r>
    <w:r>
      <w:rPr>
        <w:rFonts w:asciiTheme="majorHAnsi" w:hAnsiTheme="majorHAnsi"/>
      </w:rPr>
      <w:t xml:space="preserve">Page </w:t>
    </w:r>
    <w:r w:rsidR="00AF5A4A" w:rsidRPr="00AF5A4A">
      <w:fldChar w:fldCharType="begin"/>
    </w:r>
    <w:r w:rsidR="004D0588">
      <w:instrText xml:space="preserve"> PAGE   \* MERGEFORMAT </w:instrText>
    </w:r>
    <w:r w:rsidR="00AF5A4A" w:rsidRPr="00AF5A4A">
      <w:fldChar w:fldCharType="separate"/>
    </w:r>
    <w:r w:rsidR="00366312" w:rsidRPr="00366312">
      <w:rPr>
        <w:rFonts w:asciiTheme="majorHAnsi" w:hAnsiTheme="majorHAnsi"/>
        <w:noProof/>
      </w:rPr>
      <w:t>4</w:t>
    </w:r>
    <w:r w:rsidR="00AF5A4A">
      <w:rPr>
        <w:rFonts w:asciiTheme="majorHAnsi" w:hAnsiTheme="majorHAnsi"/>
        <w:noProof/>
      </w:rPr>
      <w:fldChar w:fldCharType="end"/>
    </w:r>
  </w:p>
  <w:p w:rsidR="00455A2A" w:rsidRDefault="00455A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2A" w:rsidRDefault="00455A2A">
    <w:pPr>
      <w:pStyle w:val="Footer"/>
      <w:pBdr>
        <w:top w:val="thinThickSmallGap" w:sz="24" w:space="1" w:color="622423" w:themeColor="accent2" w:themeShade="7F"/>
      </w:pBdr>
      <w:rPr>
        <w:rFonts w:asciiTheme="majorHAnsi" w:hAnsiTheme="majorHAnsi"/>
      </w:rPr>
    </w:pPr>
    <w:r>
      <w:rPr>
        <w:rFonts w:asciiTheme="majorHAnsi" w:hAnsiTheme="majorHAnsi"/>
      </w:rPr>
      <w:t>Financial Management and Reporting</w:t>
    </w:r>
    <w:r>
      <w:rPr>
        <w:rFonts w:asciiTheme="majorHAnsi" w:hAnsiTheme="majorHAnsi"/>
      </w:rPr>
      <w:ptab w:relativeTo="margin" w:alignment="right" w:leader="none"/>
    </w:r>
    <w:r>
      <w:rPr>
        <w:rFonts w:asciiTheme="majorHAnsi" w:hAnsiTheme="majorHAnsi"/>
      </w:rPr>
      <w:t xml:space="preserve">Page </w:t>
    </w:r>
    <w:r w:rsidR="00AF5A4A" w:rsidRPr="00AF5A4A">
      <w:fldChar w:fldCharType="begin"/>
    </w:r>
    <w:r w:rsidR="004D0588">
      <w:instrText xml:space="preserve"> PAGE   \* MERGEFORMAT </w:instrText>
    </w:r>
    <w:r w:rsidR="00AF5A4A" w:rsidRPr="00AF5A4A">
      <w:fldChar w:fldCharType="separate"/>
    </w:r>
    <w:r w:rsidR="00366312" w:rsidRPr="00366312">
      <w:rPr>
        <w:rFonts w:asciiTheme="majorHAnsi" w:hAnsiTheme="majorHAnsi"/>
        <w:noProof/>
      </w:rPr>
      <w:t>3</w:t>
    </w:r>
    <w:r w:rsidR="00AF5A4A">
      <w:rPr>
        <w:rFonts w:asciiTheme="majorHAnsi" w:hAnsiTheme="majorHAnsi"/>
        <w:noProof/>
      </w:rPr>
      <w:fldChar w:fldCharType="end"/>
    </w:r>
  </w:p>
  <w:p w:rsidR="00FE2470" w:rsidRPr="00FE2470" w:rsidRDefault="00FE2470" w:rsidP="00FE2470">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287" w:rsidRDefault="00315287" w:rsidP="00C4570F">
      <w:pPr>
        <w:spacing w:after="0" w:line="240" w:lineRule="auto"/>
      </w:pPr>
      <w:r>
        <w:separator/>
      </w:r>
    </w:p>
  </w:footnote>
  <w:footnote w:type="continuationSeparator" w:id="1">
    <w:p w:rsidR="00315287" w:rsidRDefault="00315287" w:rsidP="00C45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AF5A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29" o:spid="_x0000_s2066" type="#_x0000_t75" style="position:absolute;margin-left:0;margin-top:0;width:285pt;height:273.6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AF5A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30" o:spid="_x0000_s2067" type="#_x0000_t75" style="position:absolute;margin-left:0;margin-top:0;width:285pt;height:273.6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AF5A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475828" o:spid="_x0000_s2065" type="#_x0000_t75" style="position:absolute;margin-left:0;margin-top:0;width:285pt;height:273.6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C4C64"/>
    <w:multiLevelType w:val="hybridMultilevel"/>
    <w:tmpl w:val="A320AD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21DAF"/>
    <w:multiLevelType w:val="hybridMultilevel"/>
    <w:tmpl w:val="F09AE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E7953"/>
    <w:multiLevelType w:val="hybridMultilevel"/>
    <w:tmpl w:val="579A1884"/>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A5063"/>
    <w:multiLevelType w:val="hybridMultilevel"/>
    <w:tmpl w:val="4BD233F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26C7E"/>
    <w:multiLevelType w:val="hybridMultilevel"/>
    <w:tmpl w:val="EC007C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12852"/>
    <w:multiLevelType w:val="hybridMultilevel"/>
    <w:tmpl w:val="23B06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25CEB"/>
    <w:multiLevelType w:val="hybridMultilevel"/>
    <w:tmpl w:val="F766B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26BB0"/>
    <w:multiLevelType w:val="hybridMultilevel"/>
    <w:tmpl w:val="1D76777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013DA"/>
    <w:multiLevelType w:val="hybridMultilevel"/>
    <w:tmpl w:val="99EEA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67780"/>
    <w:multiLevelType w:val="hybridMultilevel"/>
    <w:tmpl w:val="2B4455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79359A"/>
    <w:multiLevelType w:val="hybridMultilevel"/>
    <w:tmpl w:val="3A9E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495506"/>
    <w:multiLevelType w:val="hybridMultilevel"/>
    <w:tmpl w:val="29A85E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043FE"/>
    <w:multiLevelType w:val="hybridMultilevel"/>
    <w:tmpl w:val="4AEA445E"/>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81A9E"/>
    <w:multiLevelType w:val="hybridMultilevel"/>
    <w:tmpl w:val="B420E2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DB5F70"/>
    <w:multiLevelType w:val="hybridMultilevel"/>
    <w:tmpl w:val="09C08E9C"/>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12D39"/>
    <w:multiLevelType w:val="hybridMultilevel"/>
    <w:tmpl w:val="2FB226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0959C1"/>
    <w:multiLevelType w:val="hybridMultilevel"/>
    <w:tmpl w:val="067073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DE5727"/>
    <w:multiLevelType w:val="hybridMultilevel"/>
    <w:tmpl w:val="67AA75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A04FC"/>
    <w:multiLevelType w:val="hybridMultilevel"/>
    <w:tmpl w:val="F3825C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036915"/>
    <w:multiLevelType w:val="hybridMultilevel"/>
    <w:tmpl w:val="4D2ADC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814676"/>
    <w:multiLevelType w:val="hybridMultilevel"/>
    <w:tmpl w:val="BACEEC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0423E"/>
    <w:multiLevelType w:val="hybridMultilevel"/>
    <w:tmpl w:val="0FA0D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207803"/>
    <w:multiLevelType w:val="hybridMultilevel"/>
    <w:tmpl w:val="CE2CFB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4"/>
  </w:num>
  <w:num w:numId="4">
    <w:abstractNumId w:val="12"/>
  </w:num>
  <w:num w:numId="5">
    <w:abstractNumId w:val="2"/>
  </w:num>
  <w:num w:numId="6">
    <w:abstractNumId w:val="4"/>
  </w:num>
  <w:num w:numId="7">
    <w:abstractNumId w:val="6"/>
  </w:num>
  <w:num w:numId="8">
    <w:abstractNumId w:val="21"/>
  </w:num>
  <w:num w:numId="9">
    <w:abstractNumId w:val="5"/>
  </w:num>
  <w:num w:numId="10">
    <w:abstractNumId w:val="19"/>
  </w:num>
  <w:num w:numId="11">
    <w:abstractNumId w:val="0"/>
  </w:num>
  <w:num w:numId="12">
    <w:abstractNumId w:val="13"/>
  </w:num>
  <w:num w:numId="13">
    <w:abstractNumId w:val="9"/>
  </w:num>
  <w:num w:numId="14">
    <w:abstractNumId w:val="20"/>
  </w:num>
  <w:num w:numId="15">
    <w:abstractNumId w:val="11"/>
  </w:num>
  <w:num w:numId="16">
    <w:abstractNumId w:val="10"/>
  </w:num>
  <w:num w:numId="17">
    <w:abstractNumId w:val="16"/>
  </w:num>
  <w:num w:numId="18">
    <w:abstractNumId w:val="1"/>
  </w:num>
  <w:num w:numId="19">
    <w:abstractNumId w:val="15"/>
  </w:num>
  <w:num w:numId="20">
    <w:abstractNumId w:val="8"/>
  </w:num>
  <w:num w:numId="21">
    <w:abstractNumId w:val="17"/>
  </w:num>
  <w:num w:numId="22">
    <w:abstractNumId w:val="22"/>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06374D"/>
    <w:rsid w:val="00001CE3"/>
    <w:rsid w:val="000230E8"/>
    <w:rsid w:val="00027B2A"/>
    <w:rsid w:val="0006374D"/>
    <w:rsid w:val="00071E72"/>
    <w:rsid w:val="0007636E"/>
    <w:rsid w:val="00092CB0"/>
    <w:rsid w:val="000E39AB"/>
    <w:rsid w:val="00102AC5"/>
    <w:rsid w:val="0010616B"/>
    <w:rsid w:val="001340DE"/>
    <w:rsid w:val="00146609"/>
    <w:rsid w:val="001617B2"/>
    <w:rsid w:val="00170056"/>
    <w:rsid w:val="00183B42"/>
    <w:rsid w:val="00187CBD"/>
    <w:rsid w:val="00191908"/>
    <w:rsid w:val="001B6AE2"/>
    <w:rsid w:val="001C3709"/>
    <w:rsid w:val="00235A42"/>
    <w:rsid w:val="00252425"/>
    <w:rsid w:val="002615A6"/>
    <w:rsid w:val="0027520D"/>
    <w:rsid w:val="00315287"/>
    <w:rsid w:val="00333784"/>
    <w:rsid w:val="00366312"/>
    <w:rsid w:val="00374D0B"/>
    <w:rsid w:val="00383152"/>
    <w:rsid w:val="003975A5"/>
    <w:rsid w:val="003F370F"/>
    <w:rsid w:val="00455A2A"/>
    <w:rsid w:val="00474823"/>
    <w:rsid w:val="00492BD7"/>
    <w:rsid w:val="004B0FC1"/>
    <w:rsid w:val="004C7765"/>
    <w:rsid w:val="004D0588"/>
    <w:rsid w:val="004D32C8"/>
    <w:rsid w:val="00532515"/>
    <w:rsid w:val="00580F85"/>
    <w:rsid w:val="005979D8"/>
    <w:rsid w:val="00627E83"/>
    <w:rsid w:val="0063316A"/>
    <w:rsid w:val="0065370D"/>
    <w:rsid w:val="0073145D"/>
    <w:rsid w:val="007349B9"/>
    <w:rsid w:val="0076664A"/>
    <w:rsid w:val="00772A53"/>
    <w:rsid w:val="00773E24"/>
    <w:rsid w:val="007820B8"/>
    <w:rsid w:val="00800839"/>
    <w:rsid w:val="00806481"/>
    <w:rsid w:val="008579B4"/>
    <w:rsid w:val="00884383"/>
    <w:rsid w:val="00890A4F"/>
    <w:rsid w:val="00894298"/>
    <w:rsid w:val="008D444E"/>
    <w:rsid w:val="0091161E"/>
    <w:rsid w:val="00916FB5"/>
    <w:rsid w:val="00940D94"/>
    <w:rsid w:val="00977688"/>
    <w:rsid w:val="00990A9F"/>
    <w:rsid w:val="009D7515"/>
    <w:rsid w:val="009F28CE"/>
    <w:rsid w:val="00A07F75"/>
    <w:rsid w:val="00A82F13"/>
    <w:rsid w:val="00AD5DA3"/>
    <w:rsid w:val="00AF5A4A"/>
    <w:rsid w:val="00B01C0F"/>
    <w:rsid w:val="00B24BBA"/>
    <w:rsid w:val="00B26521"/>
    <w:rsid w:val="00B30A20"/>
    <w:rsid w:val="00B42C74"/>
    <w:rsid w:val="00BC3A18"/>
    <w:rsid w:val="00BD42A5"/>
    <w:rsid w:val="00C2328A"/>
    <w:rsid w:val="00C36550"/>
    <w:rsid w:val="00C4570F"/>
    <w:rsid w:val="00C45FBB"/>
    <w:rsid w:val="00C56AEE"/>
    <w:rsid w:val="00C702E0"/>
    <w:rsid w:val="00CB41BA"/>
    <w:rsid w:val="00D02035"/>
    <w:rsid w:val="00D37C3D"/>
    <w:rsid w:val="00D40625"/>
    <w:rsid w:val="00D40935"/>
    <w:rsid w:val="00D7032B"/>
    <w:rsid w:val="00D72256"/>
    <w:rsid w:val="00D74B17"/>
    <w:rsid w:val="00DC1ABD"/>
    <w:rsid w:val="00DE5B95"/>
    <w:rsid w:val="00DF00E4"/>
    <w:rsid w:val="00E11DAF"/>
    <w:rsid w:val="00E45B4D"/>
    <w:rsid w:val="00E51EA5"/>
    <w:rsid w:val="00E63F35"/>
    <w:rsid w:val="00EA763B"/>
    <w:rsid w:val="00ED0F00"/>
    <w:rsid w:val="00ED48FD"/>
    <w:rsid w:val="00ED7F0B"/>
    <w:rsid w:val="00F872A8"/>
    <w:rsid w:val="00F910EE"/>
    <w:rsid w:val="00FC2AD1"/>
    <w:rsid w:val="00FE2470"/>
    <w:rsid w:val="00FE2F5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09"/>
  </w:style>
  <w:style w:type="paragraph" w:styleId="Heading2">
    <w:name w:val="heading 2"/>
    <w:basedOn w:val="Normal"/>
    <w:next w:val="Normal"/>
    <w:link w:val="Heading2Char"/>
    <w:qFormat/>
    <w:rsid w:val="001C3709"/>
    <w:pPr>
      <w:keepNext/>
      <w:spacing w:after="0" w:line="240" w:lineRule="auto"/>
      <w:jc w:val="center"/>
      <w:outlineLvl w:val="1"/>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374D"/>
    <w:pPr>
      <w:spacing w:after="0" w:line="240" w:lineRule="auto"/>
    </w:pPr>
    <w:rPr>
      <w:rFonts w:eastAsiaTheme="minorEastAsia"/>
    </w:rPr>
  </w:style>
  <w:style w:type="character" w:customStyle="1" w:styleId="NoSpacingChar">
    <w:name w:val="No Spacing Char"/>
    <w:basedOn w:val="DefaultParagraphFont"/>
    <w:link w:val="NoSpacing"/>
    <w:uiPriority w:val="1"/>
    <w:rsid w:val="0006374D"/>
    <w:rPr>
      <w:rFonts w:eastAsiaTheme="minorEastAsia"/>
    </w:rPr>
  </w:style>
  <w:style w:type="paragraph" w:styleId="BalloonText">
    <w:name w:val="Balloon Text"/>
    <w:basedOn w:val="Normal"/>
    <w:link w:val="BalloonTextChar"/>
    <w:uiPriority w:val="99"/>
    <w:semiHidden/>
    <w:unhideWhenUsed/>
    <w:rsid w:val="0006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74D"/>
    <w:rPr>
      <w:rFonts w:ascii="Tahoma" w:hAnsi="Tahoma" w:cs="Tahoma"/>
      <w:sz w:val="16"/>
      <w:szCs w:val="16"/>
    </w:rPr>
  </w:style>
  <w:style w:type="paragraph" w:styleId="ListParagraph">
    <w:name w:val="List Paragraph"/>
    <w:basedOn w:val="Normal"/>
    <w:uiPriority w:val="34"/>
    <w:qFormat/>
    <w:rsid w:val="00374D0B"/>
    <w:pPr>
      <w:ind w:left="720"/>
      <w:contextualSpacing/>
    </w:pPr>
  </w:style>
  <w:style w:type="table" w:styleId="TableGrid">
    <w:name w:val="Table Grid"/>
    <w:basedOn w:val="TableNormal"/>
    <w:uiPriority w:val="59"/>
    <w:rsid w:val="008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457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70F"/>
  </w:style>
  <w:style w:type="paragraph" w:styleId="Footer">
    <w:name w:val="footer"/>
    <w:basedOn w:val="Normal"/>
    <w:link w:val="FooterChar"/>
    <w:uiPriority w:val="99"/>
    <w:unhideWhenUsed/>
    <w:rsid w:val="00C45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0F"/>
  </w:style>
  <w:style w:type="character" w:customStyle="1" w:styleId="Heading2Char">
    <w:name w:val="Heading 2 Char"/>
    <w:basedOn w:val="DefaultParagraphFont"/>
    <w:link w:val="Heading2"/>
    <w:rsid w:val="001C3709"/>
    <w:rPr>
      <w:rFonts w:ascii="Arial" w:eastAsia="Times New Roman" w:hAnsi="Arial" w:cs="Times New Roman"/>
      <w:b/>
      <w:sz w:val="24"/>
      <w:szCs w:val="20"/>
      <w:lang w:val="en-GB"/>
    </w:rPr>
  </w:style>
  <w:style w:type="character" w:styleId="PlaceholderText">
    <w:name w:val="Placeholder Text"/>
    <w:basedOn w:val="DefaultParagraphFont"/>
    <w:uiPriority w:val="99"/>
    <w:semiHidden/>
    <w:rsid w:val="00940D94"/>
    <w:rPr>
      <w:color w:val="808080"/>
    </w:rPr>
  </w:style>
  <w:style w:type="table" w:styleId="LightList-Accent5">
    <w:name w:val="Light List Accent 5"/>
    <w:basedOn w:val="TableNormal"/>
    <w:uiPriority w:val="61"/>
    <w:rsid w:val="00F910E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71DE1E-153B-4B08-B13F-A065DE22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MALAYSIAN PRIVATE ENTITIES REPORTING STANDARDS (MPERS) : an overview and practical approach</vt:lpstr>
    </vt:vector>
  </TitlesOfParts>
  <Company>Proxy</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MALAYSIAN PRIVATE ENTITIES REPORTING STANDARDS (MPERS) : an overview and practical approach</dc:title>
  <dc:creator>Azlan</dc:creator>
  <cp:lastModifiedBy>hp</cp:lastModifiedBy>
  <cp:revision>22</cp:revision>
  <cp:lastPrinted>2016-12-08T15:32:00Z</cp:lastPrinted>
  <dcterms:created xsi:type="dcterms:W3CDTF">2016-10-02T19:10:00Z</dcterms:created>
  <dcterms:modified xsi:type="dcterms:W3CDTF">2017-01-18T18:37:00Z</dcterms:modified>
  <cp:category>Financial Management and Reporting</cp:category>
</cp:coreProperties>
</file>